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抚顺市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统计局从轻行政处罚事项清单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</w:p>
    <w:tbl>
      <w:tblPr>
        <w:tblStyle w:val="2"/>
        <w:tblW w:w="15920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79"/>
        <w:gridCol w:w="4224"/>
        <w:gridCol w:w="5640"/>
        <w:gridCol w:w="1200"/>
        <w:gridCol w:w="1106"/>
        <w:gridCol w:w="161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管理领域</w:t>
            </w:r>
          </w:p>
        </w:tc>
        <w:tc>
          <w:tcPr>
            <w:tcW w:w="4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/>
              </w:rPr>
              <w:t>违法事项</w:t>
            </w:r>
          </w:p>
        </w:tc>
        <w:tc>
          <w:tcPr>
            <w:tcW w:w="56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/>
              </w:rPr>
              <w:t>适用情形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lang w:val="en-US"/>
              </w:rPr>
              <w:t>从轻处罚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lang w:val="en-US"/>
              </w:rPr>
              <w:t>幅度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lang w:val="en-US"/>
              </w:rPr>
              <w:t>法定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/>
              </w:rPr>
              <w:t>依据</w:t>
            </w:r>
          </w:p>
        </w:tc>
        <w:tc>
          <w:tcPr>
            <w:tcW w:w="1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配套监管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措施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权力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4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统计领域</w:t>
            </w:r>
          </w:p>
        </w:tc>
        <w:tc>
          <w:tcPr>
            <w:tcW w:w="4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统计调查对象</w:t>
            </w:r>
            <w:r>
              <w:rPr>
                <w:rFonts w:hint="default" w:ascii="Times New Roman" w:hAnsi="Times New Roman" w:eastAsia="仿宋" w:cs="Times New Roman"/>
              </w:rPr>
              <w:t>拒绝提供统计资料或者经催报后仍未按时提供统计资料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提供不真实或者不完整的统计资料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拒绝答复或者不如实答复统计检查查询书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拒绝、阻碍统计调查、统计检查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转移、隐匿、篡改、毁弃或者拒绝提供原始记录和凭证、统计台账、统计调查表及其他相关证明和资料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有下列情形之一的，可以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从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轻实施行政处罚: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1.主动消除或者减轻统计违法行为危害后果的;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2.受有关部门或者人员胁迫或者干预从事统计违法行为，并能提供有关证据，经核查属实的；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3.配合行政机关查处工作，主动报告统计违法线索，检举、揭发统计违法行为有立功表现的；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4.法律、法规、规章规定应当从轻或者减轻处罚的其他情形。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lang w:val="en-US"/>
              </w:rPr>
              <w:t>在一个处罚幅度内减轻一档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《中华人民共和国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统计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法</w:t>
            </w:r>
            <w:r>
              <w:rPr>
                <w:rFonts w:hint="default" w:ascii="Times New Roman" w:hAnsi="Times New Roman" w:eastAsia="仿宋" w:cs="Times New Roman"/>
              </w:rPr>
              <w:t>》第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四十一</w:t>
            </w:r>
            <w:r>
              <w:rPr>
                <w:rFonts w:hint="default" w:ascii="Times New Roman" w:hAnsi="Times New Roman" w:eastAsia="仿宋" w:cs="Times New Roman"/>
              </w:rPr>
              <w:t>条</w:t>
            </w:r>
          </w:p>
        </w:tc>
        <w:tc>
          <w:tcPr>
            <w:tcW w:w="1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督促统计调查对象及时整改；运用约谈、建议、提醒、回访等行政指导手段，不断提高其尊法守法意识。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市</w:t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4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统计领域</w:t>
            </w:r>
          </w:p>
        </w:tc>
        <w:tc>
          <w:tcPr>
            <w:tcW w:w="4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农业普查对象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农业生产经营单位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</w:rPr>
              <w:t>拒绝或者妨碍普查办公室、普查人员依法进行调查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提供虚假或者不完整的农业普查资料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未按时提供与农业普查有关的资料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经催报后仍未提供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拒绝、推诿和阻挠依法进行的农业普查执法检查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在接受农业普查执法检查时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转移、隐匿、篡改、毁弃原始记录、统计台账、普查表、会计资料及其他相关资料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有下列情形之一的，可以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从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轻实施行政处罚: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1.主动消除或者减轻统计违法行为危害后果的;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2.受有关部门或者人员胁迫或者干预从事统计违法行为，并能提供有关证据，经核查属实的；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3.配合行政机关查处工作，主动报告统计违法线索，检举、揭发统计违法行为有立功表现的；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4.法律、法规、规章规定应当从轻或者减轻处罚的其他情形。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/>
              </w:rPr>
              <w:t>在一个处罚幅度内减轻一档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《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全国农业普查条例</w:t>
            </w:r>
            <w:r>
              <w:rPr>
                <w:rFonts w:hint="default" w:ascii="Times New Roman" w:hAnsi="Times New Roman" w:eastAsia="仿宋" w:cs="Times New Roman"/>
              </w:rPr>
              <w:t>》第三十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" w:cs="Times New Roman"/>
              </w:rPr>
              <w:t>条</w:t>
            </w:r>
          </w:p>
        </w:tc>
        <w:tc>
          <w:tcPr>
            <w:tcW w:w="1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督促统计调查对象及时整</w:t>
            </w:r>
            <w:r>
              <w:rPr>
                <w:rFonts w:hint="default" w:ascii="Times New Roman" w:hAnsi="Times New Roman" w:eastAsia="仿宋" w:cs="Times New Roman"/>
                <w:spacing w:val="-6"/>
                <w:lang w:val="en-US" w:eastAsia="zh-CN"/>
              </w:rPr>
              <w:t>改；运用约谈、建议、提醒、回访等行政指导手段，不断提高其尊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法守法意识。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市</w:t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4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3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统计领域</w:t>
            </w:r>
          </w:p>
        </w:tc>
        <w:tc>
          <w:tcPr>
            <w:tcW w:w="4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经济普查对象（个体经营户除外）拒绝或者妨碍接受经济普查机构、经济普查人员依法进行的调查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提供虚假或者不完整的经济普查资料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未按时提供与经济普查有关的资料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经催报后仍未提供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有下列情形之一的，可以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从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轻实施行政处罚: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1.主动消除或者减轻统计违法行为危害后果的;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2.受有关部门或者人员胁迫或者干预从事统计违法行为，并能提供有关证据，经核查属实的；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3.配合行政机关查处工作，主动报告统计违法线索，检举、揭发统计违法行为有立功表现的；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4.法律、法规、规章规定应当从轻或者减轻处罚的其他情形。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/>
              </w:rPr>
              <w:t>在一个处罚幅度内减轻一档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《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全国经济普查条例</w:t>
            </w:r>
            <w:r>
              <w:rPr>
                <w:rFonts w:hint="default" w:ascii="Times New Roman" w:hAnsi="Times New Roman" w:eastAsia="仿宋" w:cs="Times New Roman"/>
              </w:rPr>
              <w:t>》第三十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</w:rPr>
              <w:t>条</w:t>
            </w:r>
          </w:p>
        </w:tc>
        <w:tc>
          <w:tcPr>
            <w:tcW w:w="1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督促统计调查对象及时整改；运用约谈、建议、提醒、回访等行政指导手段，不断提高其尊法守法意识。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市</w:t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4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4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统计领域</w:t>
            </w:r>
          </w:p>
        </w:tc>
        <w:tc>
          <w:tcPr>
            <w:tcW w:w="4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作为统计调查对象的企业事业单位或者其他组织迟报统计资料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或者未按照国家有关规定设置原始记录、统计台账和个体工商户迟报统计资料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有下列情形之一的，可以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从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轻实施行政处罚: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1.主动消除或者减轻统计违法行为危害后果的;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2.受有关部门或者人员胁迫或者干预从事统计违法行为，并能提供有关证据，经核查属实的；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3.配合行政机关查处工作，主动报告统计违法线索，检举、揭发统计违法行为有立功表现的；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  <w:t>4.法律、法规、规章规定应当从轻或者减轻处罚的其他情形。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/>
              </w:rPr>
              <w:t>在一个处罚幅度内减轻一档</w:t>
            </w:r>
          </w:p>
        </w:tc>
        <w:tc>
          <w:tcPr>
            <w:tcW w:w="11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《中华人民共和国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统计法</w:t>
            </w:r>
            <w:r>
              <w:rPr>
                <w:rFonts w:hint="default" w:ascii="Times New Roman" w:hAnsi="Times New Roman" w:eastAsia="仿宋" w:cs="Times New Roman"/>
              </w:rPr>
              <w:t>》第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四十二条</w:t>
            </w:r>
          </w:p>
        </w:tc>
        <w:tc>
          <w:tcPr>
            <w:tcW w:w="1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督促统计调查对象及时整改；运用约谈、建议、提醒、回访等行政指导手段，不断提高其尊法守法意识。</w:t>
            </w:r>
          </w:p>
        </w:tc>
        <w:tc>
          <w:tcPr>
            <w:tcW w:w="1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市</w:t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/>
              </w:rPr>
              <w:t>县</w:t>
            </w:r>
          </w:p>
        </w:tc>
      </w:tr>
    </w:tbl>
    <w:p/>
    <w:sectPr>
      <w:pgSz w:w="16838" w:h="11906" w:orient="landscape"/>
      <w:pgMar w:top="0" w:right="567" w:bottom="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TU2MjFlOWUzYTQ0NjA4ZjFhMDRjYTAxODM5YmIifQ=="/>
  </w:docVars>
  <w:rsids>
    <w:rsidRoot w:val="41231A83"/>
    <w:rsid w:val="28C20929"/>
    <w:rsid w:val="412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2024-01-31T02:59:00Z</dcterms:created>
  <dc:creator>艾小絮</dc:creator>
  <cp:lastModifiedBy>艾小絮</cp:lastModifiedBy>
  <dcterms:modified xsi:type="dcterms:W3CDTF">2024-01-31T05:20:15Z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11702C6EA17C4623808BE5AC3DB8E534_11</vt:lpwstr>
  </property>
</Properties>
</file>