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2835" w:hRule="exact"/>
        </w:trPr>
        <w:tc>
          <w:tcPr>
            <w:tcW w:w="9854" w:type="dxa"/>
          </w:tcPr>
          <w:p>
            <w:pPr>
              <w:snapToGrid w:val="0"/>
              <w:jc w:val="center"/>
              <w:rPr>
                <w:rFonts w:ascii="宋体" w:hAnsi="宋体"/>
                <w:sz w:val="32"/>
                <w:szCs w:val="32"/>
              </w:rPr>
            </w:pPr>
            <w:bookmarkStart w:id="0" w:name="_top" w:colFirst="0" w:colLast="0"/>
          </w:p>
        </w:tc>
      </w:tr>
      <w:bookmarkEnd w:id="0"/>
    </w:tbl>
    <w:p>
      <w:pPr>
        <w:spacing w:line="1000" w:lineRule="exact"/>
        <w:jc w:val="center"/>
        <w:rPr>
          <w:rFonts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hint="eastAsia" w:ascii="宋体" w:hAnsi="宋体"/>
          <w:sz w:val="84"/>
          <w:szCs w:val="84"/>
        </w:rPr>
        <w:instrText xml:space="preserve">eq \o\ac(</w:instrText>
      </w:r>
      <w:r>
        <w:rPr>
          <w:rFonts w:hint="eastAsia" w:ascii="宋体" w:hAnsi="宋体"/>
          <w:position w:val="-16"/>
          <w:sz w:val="127"/>
          <w:szCs w:val="84"/>
        </w:rPr>
        <w:instrText xml:space="preserve">○</w:instrText>
      </w:r>
      <w:r>
        <w:rPr>
          <w:rFonts w:hint="eastAsia" w:ascii="宋体" w:hAnsi="宋体"/>
          <w:sz w:val="84"/>
          <w:szCs w:val="84"/>
        </w:rPr>
        <w:instrText xml:space="preserve">,I)</w:instrText>
      </w:r>
      <w:r>
        <w:rPr>
          <w:rFonts w:ascii="宋体" w:hAnsi="宋体"/>
          <w:sz w:val="84"/>
          <w:szCs w:val="84"/>
        </w:rPr>
        <w:fldChar w:fldCharType="end"/>
      </w:r>
      <w:r>
        <w:rPr>
          <w:rFonts w:hint="eastAsia" w:ascii="宋体" w:hAnsi="宋体"/>
          <w:w w:val="80"/>
          <w:sz w:val="84"/>
          <w:szCs w:val="84"/>
        </w:rPr>
        <w:t>劳动工资统计报表制度</w:t>
      </w:r>
    </w:p>
    <w:p>
      <w:pPr>
        <w:spacing w:after="240" w:afterLines="100"/>
        <w:jc w:val="center"/>
        <w:rPr>
          <w:rFonts w:ascii="楷体_GB2312" w:eastAsia="楷体_GB2312"/>
          <w:b/>
          <w:sz w:val="32"/>
        </w:rPr>
      </w:pPr>
      <w:r>
        <w:rPr>
          <w:rFonts w:hint="eastAsia" w:ascii="楷体_GB2312" w:eastAsia="楷体_GB2312"/>
          <w:b/>
          <w:sz w:val="32"/>
        </w:rPr>
        <w:t xml:space="preserve">  </w:t>
      </w:r>
    </w:p>
    <w:p>
      <w:pPr>
        <w:jc w:val="center"/>
        <w:rPr>
          <w:rFonts w:ascii="楷体_GB2312" w:hAnsi="楷体" w:eastAsia="楷体_GB2312"/>
          <w:sz w:val="32"/>
          <w:szCs w:val="32"/>
        </w:rPr>
      </w:pPr>
      <w:r>
        <w:rPr>
          <w:rFonts w:hint="eastAsia" w:ascii="楷体_GB2312" w:hAnsi="楷体" w:eastAsia="楷体_GB2312"/>
          <w:sz w:val="32"/>
          <w:szCs w:val="32"/>
        </w:rPr>
        <w:t>（2024年统计年报和2025年定期统计报表）</w:t>
      </w: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_GB2312" w:hAnsi="楷体" w:eastAsia="楷体_GB2312"/>
          <w:sz w:val="32"/>
          <w:szCs w:val="32"/>
        </w:rPr>
      </w:pPr>
      <w:r>
        <w:rPr>
          <w:rFonts w:hint="eastAsia" w:ascii="楷体_GB2312" w:hAnsi="楷体" w:eastAsia="楷体_GB2312"/>
          <w:sz w:val="32"/>
          <w:szCs w:val="32"/>
        </w:rPr>
        <w:t>辽宁省统计局</w:t>
      </w:r>
    </w:p>
    <w:p>
      <w:pPr>
        <w:jc w:val="center"/>
        <w:rPr>
          <w:rFonts w:ascii="楷体_GB2312" w:hAnsi="楷体" w:eastAsia="楷体_GB2312"/>
          <w:sz w:val="32"/>
          <w:szCs w:val="32"/>
        </w:rPr>
      </w:pPr>
      <w:r>
        <w:rPr>
          <w:rFonts w:hint="eastAsia" w:ascii="楷体_GB2312" w:hAnsi="楷体" w:eastAsia="楷体_GB2312"/>
          <w:sz w:val="32"/>
          <w:szCs w:val="32"/>
        </w:rPr>
        <w:t>2024年</w:t>
      </w:r>
      <w:r>
        <w:rPr>
          <w:rFonts w:ascii="楷体_GB2312" w:hAnsi="楷体" w:eastAsia="楷体_GB2312"/>
          <w:sz w:val="32"/>
          <w:szCs w:val="32"/>
        </w:rPr>
        <w:t>11</w:t>
      </w:r>
      <w:r>
        <w:rPr>
          <w:rFonts w:hint="eastAsia" w:ascii="楷体_GB2312" w:hAnsi="楷体" w:eastAsia="楷体_GB2312"/>
          <w:sz w:val="32"/>
          <w:szCs w:val="32"/>
        </w:rPr>
        <w:t>月</w:t>
      </w:r>
    </w:p>
    <w:p>
      <w:pPr>
        <w:jc w:val="center"/>
        <w:rPr>
          <w:rFonts w:ascii="楷体_GB2312" w:hAnsi="宋体" w:eastAsia="楷体_GB2312"/>
          <w:spacing w:val="-8"/>
          <w:sz w:val="32"/>
          <w:szCs w:val="32"/>
        </w:rPr>
      </w:pPr>
    </w:p>
    <w:p>
      <w:pPr>
        <w:spacing w:line="360" w:lineRule="exact"/>
        <w:rPr>
          <w:rFonts w:ascii="楷体_GB2312" w:hAnsi="宋体" w:eastAsia="楷体_GB2312"/>
          <w:spacing w:val="-8"/>
          <w:sz w:val="32"/>
          <w:szCs w:val="32"/>
        </w:rPr>
      </w:pPr>
    </w:p>
    <w:p>
      <w:pPr>
        <w:spacing w:line="360" w:lineRule="exact"/>
        <w:jc w:val="center"/>
        <w:rPr>
          <w:rFonts w:ascii="宋体" w:hAnsi="宋体"/>
          <w:spacing w:val="-8"/>
          <w:sz w:val="32"/>
          <w:szCs w:val="32"/>
        </w:rPr>
      </w:pPr>
    </w:p>
    <w:p>
      <w:pPr>
        <w:spacing w:line="360" w:lineRule="exact"/>
        <w:jc w:val="center"/>
        <w:rPr>
          <w:rFonts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ascii="宋体" w:hAnsi="宋体"/>
          <w:spacing w:val="-8"/>
          <w:sz w:val="28"/>
          <w:szCs w:val="32"/>
        </w:rPr>
      </w:pPr>
    </w:p>
    <w:p>
      <w:pPr>
        <w:spacing w:line="360" w:lineRule="exact"/>
        <w:ind w:firstLine="528" w:firstLineChars="200"/>
        <w:rPr>
          <w:rFonts w:ascii="宋体" w:hAnsi="宋体"/>
          <w:spacing w:val="-8"/>
          <w:sz w:val="28"/>
        </w:rPr>
      </w:pPr>
    </w:p>
    <w:p>
      <w:pPr>
        <w:spacing w:line="360" w:lineRule="auto"/>
        <w:ind w:firstLine="560" w:firstLineChars="200"/>
        <w:rPr>
          <w:rFonts w:eastAsia="仿宋_GB2312"/>
          <w:bCs/>
          <w:sz w:val="28"/>
        </w:rPr>
      </w:pPr>
      <w:r>
        <w:rPr>
          <w:rFonts w:hint="eastAsia" w:eastAsia="仿宋_GB2312"/>
          <w:bCs/>
          <w:sz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eastAsia="仿宋_GB2312"/>
          <w:b/>
          <w:bCs/>
          <w:sz w:val="28"/>
        </w:rPr>
      </w:pPr>
    </w:p>
    <w:p>
      <w:pPr>
        <w:spacing w:line="360" w:lineRule="auto"/>
        <w:ind w:firstLine="560" w:firstLineChars="200"/>
        <w:rPr>
          <w:rFonts w:eastAsia="仿宋_GB2312"/>
          <w:b/>
          <w:bCs/>
          <w:sz w:val="28"/>
        </w:rPr>
      </w:pPr>
      <w:r>
        <w:rPr>
          <w:rFonts w:hint="eastAsia" w:eastAsia="仿宋_GB2312"/>
          <w:bCs/>
          <w:sz w:val="28"/>
        </w:rPr>
        <w:t>《中华人民共和国统计法》第十一条规定：统计机构和统计人员对在统计工作中知悉的国家秘密、商业秘密</w:t>
      </w:r>
      <w:r>
        <w:rPr>
          <w:rFonts w:eastAsia="仿宋_GB2312"/>
          <w:bCs/>
          <w:sz w:val="28"/>
        </w:rPr>
        <w:t>、个人隐私和</w:t>
      </w:r>
      <w:r>
        <w:rPr>
          <w:rFonts w:hint="eastAsia" w:eastAsia="仿宋_GB2312"/>
          <w:bCs/>
          <w:sz w:val="28"/>
        </w:rPr>
        <w:t>个人信息，应当予以保密，不得泄露或者向他人非法提供。</w:t>
      </w: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r>
        <w:rPr>
          <w:rFonts w:hint="eastAsia" w:ascii="宋体" w:hAnsi="宋体"/>
          <w:spacing w:val="-8"/>
          <w:sz w:val="28"/>
        </w:rPr>
        <w:t xml:space="preserve"> </w:t>
      </w: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440" w:lineRule="exact"/>
        <w:ind w:firstLine="560" w:firstLineChars="200"/>
        <w:jc w:val="left"/>
        <w:rPr>
          <w:rFonts w:ascii="宋体" w:hAnsi="宋体"/>
          <w:b/>
          <w:sz w:val="28"/>
        </w:rPr>
        <w:sectPr>
          <w:pgSz w:w="11906" w:h="16838"/>
          <w:pgMar w:top="1418" w:right="1247" w:bottom="1247" w:left="1247" w:header="851" w:footer="851" w:gutter="0"/>
          <w:pgNumType w:fmt="numberInDash"/>
          <w:cols w:space="720" w:num="1"/>
        </w:sectPr>
      </w:pPr>
      <w:r>
        <w:rPr>
          <w:rFonts w:hint="eastAsia" w:ascii="宋体" w:hAnsi="宋体"/>
          <w:sz w:val="28"/>
        </w:rPr>
        <w:t>本制度由辽宁省统计局负责解释</w:t>
      </w:r>
      <w:r>
        <w:rPr>
          <w:rFonts w:hint="eastAsia" w:ascii="宋体" w:hAnsi="宋体"/>
          <w:b/>
          <w:sz w:val="28"/>
        </w:rPr>
        <w:t>。</w:t>
      </w:r>
    </w:p>
    <w:p>
      <w:pPr>
        <w:spacing w:before="960" w:beforeLines="400" w:after="480" w:afterLines="200" w:line="440" w:lineRule="exact"/>
        <w:jc w:val="center"/>
        <w:outlineLvl w:val="0"/>
        <w:rPr>
          <w:rFonts w:ascii="黑体" w:hAnsi="宋体" w:eastAsia="黑体"/>
          <w:color w:val="000000"/>
          <w:sz w:val="32"/>
          <w:szCs w:val="32"/>
        </w:rPr>
      </w:pPr>
      <w:bookmarkStart w:id="1" w:name="_Toc471082883"/>
      <w:bookmarkStart w:id="2" w:name="_Toc792961033"/>
      <w:bookmarkStart w:id="3" w:name="_Toc875124756"/>
      <w:bookmarkStart w:id="4" w:name="_Toc1676875513"/>
      <w:bookmarkStart w:id="5" w:name="_Toc1580872034"/>
      <w:bookmarkStart w:id="6" w:name="_Toc1397972950"/>
      <w:bookmarkStart w:id="7" w:name="_Toc2144579082"/>
      <w:bookmarkStart w:id="8" w:name="_Toc1313107341"/>
      <w:r>
        <w:rPr>
          <w:rFonts w:hint="eastAsia" w:ascii="黑体" w:hAnsi="宋体" w:eastAsia="黑体"/>
          <w:color w:val="000000"/>
          <w:sz w:val="32"/>
          <w:szCs w:val="32"/>
        </w:rPr>
        <w:t>目    录</w:t>
      </w:r>
      <w:bookmarkEnd w:id="1"/>
      <w:bookmarkEnd w:id="2"/>
      <w:bookmarkEnd w:id="3"/>
      <w:bookmarkEnd w:id="4"/>
      <w:bookmarkEnd w:id="5"/>
      <w:bookmarkEnd w:id="6"/>
      <w:bookmarkEnd w:id="7"/>
      <w:bookmarkEnd w:id="8"/>
    </w:p>
    <w:p>
      <w:pPr>
        <w:pStyle w:val="14"/>
        <w:tabs>
          <w:tab w:val="right" w:leader="dot" w:pos="9412"/>
        </w:tabs>
      </w:pPr>
      <w:r>
        <w:rPr>
          <w:rFonts w:hint="eastAsia" w:ascii="黑体" w:eastAsia="黑体"/>
          <w:sz w:val="32"/>
        </w:rPr>
        <w:fldChar w:fldCharType="begin"/>
      </w:r>
      <w:r>
        <w:rPr>
          <w:rFonts w:hint="eastAsia" w:ascii="黑体" w:eastAsia="黑体"/>
          <w:sz w:val="32"/>
        </w:rPr>
        <w:instrText xml:space="preserve">TOC \o "1-3" \h \u </w:instrText>
      </w:r>
      <w:r>
        <w:rPr>
          <w:rFonts w:hint="eastAsia" w:ascii="黑体" w:eastAsia="黑体"/>
          <w:sz w:val="32"/>
        </w:rPr>
        <w:fldChar w:fldCharType="separate"/>
      </w:r>
    </w:p>
    <w:p>
      <w:pPr>
        <w:spacing w:line="360" w:lineRule="auto"/>
        <w:jc w:val="center"/>
        <w:rPr>
          <w:rFonts w:ascii="黑体" w:eastAsia="黑体"/>
        </w:rPr>
      </w:pPr>
      <w:r>
        <w:rPr>
          <w:rFonts w:hint="eastAsia" w:ascii="黑体" w:eastAsia="黑体"/>
        </w:rPr>
        <w:fldChar w:fldCharType="end"/>
      </w:r>
    </w:p>
    <w:sdt>
      <w:sdtPr>
        <w:rPr>
          <w:rFonts w:ascii="宋体" w:hAnsi="宋体"/>
        </w:rPr>
        <w:id w:val="778877945"/>
        <w15:color w:val="DBDBDB"/>
        <w:docPartObj>
          <w:docPartGallery w:val="Table of Contents"/>
          <w:docPartUnique/>
        </w:docPartObj>
      </w:sdtPr>
      <w:sdtEndPr>
        <w:rPr>
          <w:rFonts w:ascii="宋体" w:hAnsi="宋体"/>
        </w:rPr>
      </w:sdtEndPr>
      <w:sdtContent>
        <w:p>
          <w:pPr>
            <w:jc w:val="center"/>
          </w:pPr>
          <w:r>
            <w:fldChar w:fldCharType="begin"/>
          </w:r>
          <w:r>
            <w:instrText xml:space="preserve">TOC \o "1-3" \h \u </w:instrText>
          </w:r>
          <w:r>
            <w:fldChar w:fldCharType="separate"/>
          </w:r>
        </w:p>
        <w:p>
          <w:pPr>
            <w:pStyle w:val="14"/>
            <w:tabs>
              <w:tab w:val="right" w:leader="dot" w:pos="9412"/>
            </w:tabs>
            <w:spacing w:line="360" w:lineRule="auto"/>
            <w:rPr>
              <w:color w:val="000000"/>
            </w:rPr>
          </w:pPr>
          <w:r>
            <w:rPr>
              <w:color w:val="000000"/>
            </w:rPr>
            <w:fldChar w:fldCharType="begin"/>
          </w:r>
          <w:r>
            <w:rPr>
              <w:color w:val="000000"/>
            </w:rPr>
            <w:instrText xml:space="preserve"> HYPERLINK \l _Toc1031497675 </w:instrText>
          </w:r>
          <w:r>
            <w:rPr>
              <w:color w:val="000000"/>
            </w:rPr>
            <w:fldChar w:fldCharType="separate"/>
          </w:r>
          <w:r>
            <w:rPr>
              <w:rFonts w:hint="eastAsia" w:ascii="Times New Roman" w:hAnsi="Times New Roman" w:eastAsia="宋体"/>
              <w:color w:val="000000"/>
            </w:rPr>
            <w:t>一、总说明</w:t>
          </w:r>
          <w:r>
            <w:rPr>
              <w:color w:val="000000"/>
            </w:rPr>
            <w:tab/>
          </w:r>
          <w:r>
            <w:rPr>
              <w:color w:val="000000"/>
            </w:rPr>
            <w:fldChar w:fldCharType="begin"/>
          </w:r>
          <w:r>
            <w:rPr>
              <w:color w:val="000000"/>
            </w:rPr>
            <w:instrText xml:space="preserve"> PAGEREF _Toc1031497675 \h </w:instrText>
          </w:r>
          <w:r>
            <w:rPr>
              <w:color w:val="000000"/>
            </w:rPr>
            <w:fldChar w:fldCharType="separate"/>
          </w:r>
          <w:r>
            <w:rPr>
              <w:color w:val="000000"/>
            </w:rPr>
            <w:t>- 2 -</w:t>
          </w:r>
          <w:r>
            <w:rPr>
              <w:color w:val="000000"/>
            </w:rPr>
            <w:fldChar w:fldCharType="end"/>
          </w:r>
          <w:r>
            <w:rPr>
              <w:color w:val="000000"/>
            </w:rPr>
            <w:fldChar w:fldCharType="end"/>
          </w:r>
        </w:p>
        <w:p>
          <w:pPr>
            <w:pStyle w:val="14"/>
            <w:tabs>
              <w:tab w:val="right" w:leader="dot" w:pos="9412"/>
            </w:tabs>
            <w:spacing w:line="360" w:lineRule="auto"/>
            <w:rPr>
              <w:color w:val="000000"/>
            </w:rPr>
          </w:pPr>
          <w:r>
            <w:rPr>
              <w:color w:val="000000"/>
            </w:rPr>
            <w:fldChar w:fldCharType="begin"/>
          </w:r>
          <w:r>
            <w:rPr>
              <w:color w:val="000000"/>
            </w:rPr>
            <w:instrText xml:space="preserve"> HYPERLINK \l _Toc1587778798 </w:instrText>
          </w:r>
          <w:r>
            <w:rPr>
              <w:color w:val="000000"/>
            </w:rPr>
            <w:fldChar w:fldCharType="separate"/>
          </w:r>
          <w:r>
            <w:rPr>
              <w:rFonts w:hint="eastAsia" w:ascii="Times New Roman" w:eastAsia="宋体"/>
              <w:color w:val="000000"/>
            </w:rPr>
            <w:t>二、报表目录</w:t>
          </w:r>
          <w:r>
            <w:rPr>
              <w:color w:val="000000"/>
            </w:rPr>
            <w:tab/>
          </w:r>
          <w:r>
            <w:rPr>
              <w:color w:val="000000"/>
            </w:rPr>
            <w:fldChar w:fldCharType="begin"/>
          </w:r>
          <w:r>
            <w:rPr>
              <w:color w:val="000000"/>
            </w:rPr>
            <w:instrText xml:space="preserve"> PAGEREF _Toc1587778798 \h </w:instrText>
          </w:r>
          <w:r>
            <w:rPr>
              <w:color w:val="000000"/>
            </w:rPr>
            <w:fldChar w:fldCharType="separate"/>
          </w:r>
          <w:r>
            <w:rPr>
              <w:color w:val="000000"/>
            </w:rPr>
            <w:t>- 3 -</w:t>
          </w:r>
          <w:r>
            <w:rPr>
              <w:color w:val="000000"/>
            </w:rPr>
            <w:fldChar w:fldCharType="end"/>
          </w:r>
          <w:r>
            <w:rPr>
              <w:color w:val="000000"/>
            </w:rPr>
            <w:fldChar w:fldCharType="end"/>
          </w:r>
        </w:p>
        <w:p>
          <w:pPr>
            <w:pStyle w:val="14"/>
            <w:tabs>
              <w:tab w:val="right" w:leader="dot" w:pos="9412"/>
            </w:tabs>
            <w:spacing w:line="360" w:lineRule="auto"/>
            <w:rPr>
              <w:color w:val="000000"/>
            </w:rPr>
          </w:pPr>
          <w:r>
            <w:rPr>
              <w:color w:val="000000"/>
            </w:rPr>
            <w:fldChar w:fldCharType="begin"/>
          </w:r>
          <w:r>
            <w:rPr>
              <w:color w:val="000000"/>
            </w:rPr>
            <w:instrText xml:space="preserve"> HYPERLINK \l _Toc1541487486 </w:instrText>
          </w:r>
          <w:r>
            <w:rPr>
              <w:color w:val="000000"/>
            </w:rPr>
            <w:fldChar w:fldCharType="separate"/>
          </w:r>
          <w:r>
            <w:rPr>
              <w:rFonts w:hint="eastAsia" w:ascii="Times New Roman" w:eastAsia="宋体"/>
              <w:color w:val="000000"/>
            </w:rPr>
            <w:t>三、调查表式</w:t>
          </w:r>
          <w:r>
            <w:rPr>
              <w:color w:val="000000"/>
            </w:rPr>
            <w:tab/>
          </w:r>
          <w:r>
            <w:rPr>
              <w:color w:val="000000"/>
            </w:rPr>
            <w:fldChar w:fldCharType="begin"/>
          </w:r>
          <w:r>
            <w:rPr>
              <w:color w:val="000000"/>
            </w:rPr>
            <w:instrText xml:space="preserve"> PAGEREF _Toc1541487486 \h </w:instrText>
          </w:r>
          <w:r>
            <w:rPr>
              <w:color w:val="000000"/>
            </w:rPr>
            <w:fldChar w:fldCharType="separate"/>
          </w:r>
          <w:r>
            <w:rPr>
              <w:color w:val="000000"/>
            </w:rPr>
            <w:t>- 4 -</w:t>
          </w:r>
          <w:r>
            <w:rPr>
              <w:color w:val="000000"/>
            </w:rPr>
            <w:fldChar w:fldCharType="end"/>
          </w:r>
          <w:r>
            <w:rPr>
              <w:color w:val="000000"/>
            </w:rPr>
            <w:fldChar w:fldCharType="end"/>
          </w:r>
        </w:p>
        <w:p>
          <w:pPr>
            <w:pStyle w:val="16"/>
            <w:tabs>
              <w:tab w:val="right" w:leader="dot" w:pos="9412"/>
            </w:tabs>
            <w:spacing w:line="360" w:lineRule="auto"/>
            <w:rPr>
              <w:color w:val="000000"/>
            </w:rPr>
          </w:pPr>
          <w:r>
            <w:rPr>
              <w:color w:val="000000"/>
            </w:rPr>
            <w:fldChar w:fldCharType="begin"/>
          </w:r>
          <w:r>
            <w:rPr>
              <w:color w:val="000000"/>
            </w:rPr>
            <w:instrText xml:space="preserve"> HYPERLINK \l _Toc1161517645 </w:instrText>
          </w:r>
          <w:r>
            <w:rPr>
              <w:color w:val="000000"/>
            </w:rPr>
            <w:fldChar w:fldCharType="separate"/>
          </w:r>
          <w:r>
            <w:rPr>
              <w:rFonts w:hint="eastAsia" w:ascii="Times New Roman" w:eastAsia="宋体"/>
              <w:color w:val="000000"/>
              <w:szCs w:val="21"/>
            </w:rPr>
            <w:t>（一）基层年报表式</w:t>
          </w:r>
          <w:r>
            <w:rPr>
              <w:color w:val="000000"/>
            </w:rPr>
            <w:tab/>
          </w:r>
          <w:r>
            <w:rPr>
              <w:color w:val="000000"/>
            </w:rPr>
            <w:fldChar w:fldCharType="begin"/>
          </w:r>
          <w:r>
            <w:rPr>
              <w:color w:val="000000"/>
            </w:rPr>
            <w:instrText xml:space="preserve"> PAGEREF _Toc1161517645 \h </w:instrText>
          </w:r>
          <w:r>
            <w:rPr>
              <w:color w:val="000000"/>
            </w:rPr>
            <w:fldChar w:fldCharType="separate"/>
          </w:r>
          <w:r>
            <w:rPr>
              <w:color w:val="000000"/>
            </w:rPr>
            <w:t>- 4 -</w:t>
          </w:r>
          <w:r>
            <w:rPr>
              <w:color w:val="000000"/>
            </w:rPr>
            <w:fldChar w:fldCharType="end"/>
          </w:r>
          <w:r>
            <w:rPr>
              <w:color w:val="000000"/>
            </w:rPr>
            <w:fldChar w:fldCharType="end"/>
          </w:r>
        </w:p>
        <w:p>
          <w:pPr>
            <w:pStyle w:val="8"/>
            <w:tabs>
              <w:tab w:val="right" w:leader="dot" w:pos="9412"/>
            </w:tabs>
            <w:spacing w:line="360" w:lineRule="auto"/>
          </w:pPr>
          <w:r>
            <w:rPr>
              <w:color w:val="000000"/>
            </w:rPr>
            <w:fldChar w:fldCharType="begin"/>
          </w:r>
          <w:r>
            <w:rPr>
              <w:color w:val="000000"/>
            </w:rPr>
            <w:instrText xml:space="preserve"> HYPERLINK \l _Toc1457471854 </w:instrText>
          </w:r>
          <w:r>
            <w:rPr>
              <w:color w:val="000000"/>
            </w:rPr>
            <w:fldChar w:fldCharType="separate"/>
          </w:r>
          <w:r>
            <w:rPr>
              <w:rFonts w:hint="eastAsia" w:ascii="Times New Roman" w:hAnsi="Times New Roman" w:cs="Times New Roman"/>
              <w:color w:val="000000"/>
              <w:szCs w:val="21"/>
            </w:rPr>
            <w:t>从业人员及工资总额</w:t>
          </w:r>
          <w:r>
            <w:rPr>
              <w:rFonts w:hint="eastAsia"/>
              <w:color w:val="000000"/>
            </w:rPr>
            <w:t>（102-1表）</w:t>
          </w:r>
          <w:r>
            <w:rPr>
              <w:color w:val="000000"/>
            </w:rPr>
            <w:tab/>
          </w:r>
          <w:r>
            <w:rPr>
              <w:color w:val="000000"/>
            </w:rPr>
            <w:fldChar w:fldCharType="begin"/>
          </w:r>
          <w:r>
            <w:rPr>
              <w:color w:val="000000"/>
            </w:rPr>
            <w:instrText xml:space="preserve"> PAGEREF _Toc1457471854 \h </w:instrText>
          </w:r>
          <w:r>
            <w:rPr>
              <w:color w:val="000000"/>
            </w:rPr>
            <w:fldChar w:fldCharType="separate"/>
          </w:r>
          <w:r>
            <w:rPr>
              <w:color w:val="000000"/>
            </w:rPr>
            <w:t>- 4 -</w:t>
          </w:r>
          <w:r>
            <w:rPr>
              <w:color w:val="000000"/>
            </w:rPr>
            <w:fldChar w:fldCharType="end"/>
          </w:r>
          <w:r>
            <w:rPr>
              <w:color w:val="000000"/>
            </w:rPr>
            <w:fldChar w:fldCharType="end"/>
          </w:r>
        </w:p>
        <w:p>
          <w:pPr>
            <w:pStyle w:val="8"/>
            <w:tabs>
              <w:tab w:val="right" w:leader="dot" w:pos="9412"/>
            </w:tabs>
            <w:spacing w:line="360" w:lineRule="auto"/>
          </w:pPr>
          <w:r>
            <w:fldChar w:fldCharType="begin"/>
          </w:r>
          <w:r>
            <w:instrText xml:space="preserve"> HYPERLINK \l _Toc2003525389 </w:instrText>
          </w:r>
          <w:r>
            <w:fldChar w:fldCharType="separate"/>
          </w:r>
          <w:r>
            <w:rPr>
              <w:rFonts w:hint="eastAsia" w:ascii="宋体" w:hAnsi="宋体"/>
              <w:szCs w:val="32"/>
            </w:rPr>
            <w:t>从业人员及工资总额</w:t>
          </w:r>
          <w:r>
            <w:rPr>
              <w:rFonts w:hint="eastAsia"/>
              <w:color w:val="000000"/>
            </w:rPr>
            <w:t>（I102-2表）</w:t>
          </w:r>
          <w:r>
            <w:tab/>
          </w:r>
          <w:r>
            <w:fldChar w:fldCharType="begin"/>
          </w:r>
          <w:r>
            <w:instrText xml:space="preserve"> PAGEREF _Toc2003525389 \h </w:instrText>
          </w:r>
          <w:r>
            <w:fldChar w:fldCharType="separate"/>
          </w:r>
          <w:r>
            <w:t>- 5 -</w:t>
          </w:r>
          <w:r>
            <w:fldChar w:fldCharType="end"/>
          </w:r>
          <w:r>
            <w:fldChar w:fldCharType="end"/>
          </w:r>
        </w:p>
        <w:p>
          <w:pPr>
            <w:pStyle w:val="8"/>
            <w:tabs>
              <w:tab w:val="right" w:leader="dot" w:pos="9412"/>
            </w:tabs>
            <w:spacing w:line="360" w:lineRule="auto"/>
          </w:pPr>
          <w:r>
            <w:fldChar w:fldCharType="begin"/>
          </w:r>
          <w:r>
            <w:instrText xml:space="preserve"> HYPERLINK \l _Toc1156247807 </w:instrText>
          </w:r>
          <w:r>
            <w:fldChar w:fldCharType="separate"/>
          </w:r>
          <w:r>
            <w:rPr>
              <w:rFonts w:hint="eastAsia" w:ascii="宋体" w:hAnsi="宋体"/>
              <w:szCs w:val="32"/>
            </w:rPr>
            <w:t>从业人员及工资总额</w:t>
          </w:r>
          <w:r>
            <w:rPr>
              <w:rFonts w:hint="eastAsia"/>
              <w:color w:val="000000"/>
            </w:rPr>
            <w:t>（I102-3表）</w:t>
          </w:r>
          <w:r>
            <w:tab/>
          </w:r>
          <w:r>
            <w:fldChar w:fldCharType="begin"/>
          </w:r>
          <w:r>
            <w:instrText xml:space="preserve"> PAGEREF _Toc1156247807 \h </w:instrText>
          </w:r>
          <w:r>
            <w:fldChar w:fldCharType="separate"/>
          </w:r>
          <w:r>
            <w:t>- 6 -</w:t>
          </w:r>
          <w:r>
            <w:fldChar w:fldCharType="end"/>
          </w:r>
          <w:r>
            <w:fldChar w:fldCharType="end"/>
          </w:r>
        </w:p>
        <w:p>
          <w:pPr>
            <w:pStyle w:val="16"/>
            <w:tabs>
              <w:tab w:val="right" w:leader="dot" w:pos="9412"/>
            </w:tabs>
            <w:spacing w:line="360" w:lineRule="auto"/>
          </w:pPr>
          <w:r>
            <w:fldChar w:fldCharType="begin"/>
          </w:r>
          <w:r>
            <w:instrText xml:space="preserve"> HYPERLINK \l _Toc1754068189 </w:instrText>
          </w:r>
          <w:r>
            <w:fldChar w:fldCharType="separate"/>
          </w:r>
          <w:r>
            <w:rPr>
              <w:rFonts w:hint="eastAsia" w:asciiTheme="majorEastAsia" w:hAnsiTheme="majorEastAsia" w:eastAsiaTheme="majorEastAsia" w:cstheme="majorEastAsia"/>
              <w:szCs w:val="28"/>
            </w:rPr>
            <w:t>（二）基层定报表式</w:t>
          </w:r>
          <w:r>
            <w:tab/>
          </w:r>
          <w:r>
            <w:fldChar w:fldCharType="begin"/>
          </w:r>
          <w:r>
            <w:instrText xml:space="preserve"> PAGEREF _Toc1754068189 \h </w:instrText>
          </w:r>
          <w:r>
            <w:fldChar w:fldCharType="separate"/>
          </w:r>
          <w:r>
            <w:t>- 7 -</w:t>
          </w:r>
          <w:r>
            <w:fldChar w:fldCharType="end"/>
          </w:r>
          <w:r>
            <w:fldChar w:fldCharType="end"/>
          </w:r>
        </w:p>
        <w:p>
          <w:pPr>
            <w:pStyle w:val="8"/>
            <w:tabs>
              <w:tab w:val="right" w:leader="dot" w:pos="9412"/>
            </w:tabs>
            <w:spacing w:line="360" w:lineRule="auto"/>
          </w:pPr>
          <w:r>
            <w:fldChar w:fldCharType="begin"/>
          </w:r>
          <w:r>
            <w:instrText xml:space="preserve"> HYPERLINK \l _Toc424930532 </w:instrText>
          </w:r>
          <w:r>
            <w:fldChar w:fldCharType="separate"/>
          </w:r>
          <w:r>
            <w:rPr>
              <w:rFonts w:hint="eastAsia" w:ascii="宋体" w:hAnsi="宋体"/>
              <w:szCs w:val="32"/>
            </w:rPr>
            <w:t>从业人员及工资总额</w:t>
          </w:r>
          <w:r>
            <w:rPr>
              <w:rFonts w:hint="eastAsia"/>
              <w:color w:val="000000"/>
            </w:rPr>
            <w:t>（202-1表）</w:t>
          </w:r>
          <w:r>
            <w:tab/>
          </w:r>
          <w:r>
            <w:rPr>
              <w:rFonts w:hint="eastAsia"/>
            </w:rPr>
            <w:t xml:space="preserve"> </w:t>
          </w:r>
          <w:r>
            <w:fldChar w:fldCharType="begin"/>
          </w:r>
          <w:r>
            <w:instrText xml:space="preserve"> PAGEREF _Toc424930532 \h </w:instrText>
          </w:r>
          <w:r>
            <w:fldChar w:fldCharType="separate"/>
          </w:r>
          <w:r>
            <w:t>- 7 -</w:t>
          </w:r>
          <w:r>
            <w:fldChar w:fldCharType="end"/>
          </w:r>
          <w:r>
            <w:fldChar w:fldCharType="end"/>
          </w:r>
        </w:p>
        <w:p>
          <w:pPr>
            <w:pStyle w:val="8"/>
            <w:tabs>
              <w:tab w:val="right" w:leader="dot" w:pos="9412"/>
            </w:tabs>
            <w:spacing w:line="360" w:lineRule="auto"/>
          </w:pPr>
          <w:r>
            <w:fldChar w:fldCharType="begin"/>
          </w:r>
          <w:r>
            <w:instrText xml:space="preserve"> HYPERLINK \l _Toc1291722561 </w:instrText>
          </w:r>
          <w:r>
            <w:fldChar w:fldCharType="separate"/>
          </w:r>
          <w:r>
            <w:rPr>
              <w:rFonts w:hint="eastAsia" w:ascii="宋体" w:hAnsi="宋体"/>
              <w:szCs w:val="32"/>
            </w:rPr>
            <w:t>从业人员及工资总额</w:t>
          </w:r>
          <w:r>
            <w:rPr>
              <w:rFonts w:hint="eastAsia"/>
              <w:color w:val="000000"/>
            </w:rPr>
            <w:t>（I202-2表）</w:t>
          </w:r>
          <w:r>
            <w:tab/>
          </w:r>
          <w:r>
            <w:fldChar w:fldCharType="begin"/>
          </w:r>
          <w:r>
            <w:instrText xml:space="preserve"> PAGEREF _Toc1291722561 \h </w:instrText>
          </w:r>
          <w:r>
            <w:fldChar w:fldCharType="separate"/>
          </w:r>
          <w:r>
            <w:t>- 8 -</w:t>
          </w:r>
          <w:r>
            <w:fldChar w:fldCharType="end"/>
          </w:r>
          <w:r>
            <w:fldChar w:fldCharType="end"/>
          </w:r>
        </w:p>
        <w:p>
          <w:pPr>
            <w:pStyle w:val="8"/>
            <w:tabs>
              <w:tab w:val="right" w:leader="dot" w:pos="9412"/>
            </w:tabs>
            <w:spacing w:line="360" w:lineRule="auto"/>
          </w:pPr>
          <w:r>
            <w:fldChar w:fldCharType="begin"/>
          </w:r>
          <w:r>
            <w:instrText xml:space="preserve"> HYPERLINK \l _Toc1430078934 </w:instrText>
          </w:r>
          <w:r>
            <w:fldChar w:fldCharType="separate"/>
          </w:r>
          <w:r>
            <w:rPr>
              <w:rFonts w:hint="eastAsia" w:ascii="宋体" w:hAnsi="宋体"/>
              <w:szCs w:val="32"/>
            </w:rPr>
            <w:t>从业人员及工资总额</w:t>
          </w:r>
          <w:r>
            <w:rPr>
              <w:rFonts w:hint="eastAsia"/>
              <w:color w:val="000000"/>
            </w:rPr>
            <w:t>（I202-3表）</w:t>
          </w:r>
          <w:r>
            <w:tab/>
          </w:r>
          <w:r>
            <w:fldChar w:fldCharType="begin"/>
          </w:r>
          <w:r>
            <w:instrText xml:space="preserve"> PAGEREF _Toc1430078934 \h </w:instrText>
          </w:r>
          <w:r>
            <w:fldChar w:fldCharType="separate"/>
          </w:r>
          <w:r>
            <w:t>- 9 -</w:t>
          </w:r>
          <w:r>
            <w:fldChar w:fldCharType="end"/>
          </w:r>
          <w:r>
            <w:fldChar w:fldCharType="end"/>
          </w:r>
        </w:p>
        <w:p>
          <w:pPr>
            <w:pStyle w:val="14"/>
            <w:tabs>
              <w:tab w:val="right" w:leader="dot" w:pos="9412"/>
            </w:tabs>
            <w:spacing w:line="360" w:lineRule="auto"/>
          </w:pPr>
          <w:r>
            <w:fldChar w:fldCharType="begin"/>
          </w:r>
          <w:r>
            <w:instrText xml:space="preserve"> HYPERLINK \l _Toc2138938872 </w:instrText>
          </w:r>
          <w:r>
            <w:fldChar w:fldCharType="separate"/>
          </w:r>
          <w:r>
            <w:rPr>
              <w:rFonts w:hint="eastAsia" w:ascii="Times New Roman" w:hAnsi="Times New Roman" w:eastAsia="宋体" w:cs="Times New Roman"/>
              <w:kern w:val="2"/>
              <w:szCs w:val="21"/>
            </w:rPr>
            <w:t>四、附录</w:t>
          </w:r>
          <w:r>
            <w:tab/>
          </w:r>
          <w:r>
            <w:fldChar w:fldCharType="begin"/>
          </w:r>
          <w:r>
            <w:instrText xml:space="preserve"> PAGEREF _Toc2138938872 \h </w:instrText>
          </w:r>
          <w:r>
            <w:fldChar w:fldCharType="separate"/>
          </w:r>
          <w:r>
            <w:t>- 10 -</w:t>
          </w:r>
          <w:r>
            <w:fldChar w:fldCharType="end"/>
          </w:r>
          <w:r>
            <w:fldChar w:fldCharType="end"/>
          </w:r>
        </w:p>
        <w:p>
          <w:pPr>
            <w:pStyle w:val="16"/>
            <w:tabs>
              <w:tab w:val="right" w:leader="dot" w:pos="9412"/>
            </w:tabs>
            <w:spacing w:line="360" w:lineRule="auto"/>
          </w:pPr>
          <w:r>
            <w:fldChar w:fldCharType="begin"/>
          </w:r>
          <w:r>
            <w:instrText xml:space="preserve"> HYPERLINK \l _Toc334487244 </w:instrText>
          </w:r>
          <w:r>
            <w:fldChar w:fldCharType="separate"/>
          </w:r>
          <w:r>
            <w:rPr>
              <w:rFonts w:hint="eastAsia" w:ascii="Times New Roman" w:hAnsi="Times New Roman" w:eastAsia="宋体"/>
              <w:kern w:val="2"/>
              <w:szCs w:val="21"/>
            </w:rPr>
            <w:t>（一）职业分类与代码表</w:t>
          </w:r>
          <w:r>
            <w:rPr>
              <w:rFonts w:ascii="Times New Roman" w:hAnsi="Times New Roman" w:eastAsia="宋体"/>
              <w:kern w:val="2"/>
              <w:szCs w:val="21"/>
            </w:rPr>
            <w:t>(2022年版)</w:t>
          </w:r>
          <w:r>
            <w:tab/>
          </w:r>
          <w:r>
            <w:fldChar w:fldCharType="begin"/>
          </w:r>
          <w:r>
            <w:instrText xml:space="preserve"> PAGEREF _Toc334487244 \h </w:instrText>
          </w:r>
          <w:r>
            <w:fldChar w:fldCharType="separate"/>
          </w:r>
          <w:r>
            <w:t>- 10 -</w:t>
          </w:r>
          <w:r>
            <w:fldChar w:fldCharType="end"/>
          </w:r>
          <w:r>
            <w:fldChar w:fldCharType="end"/>
          </w:r>
        </w:p>
        <w:p>
          <w:pPr>
            <w:pStyle w:val="16"/>
            <w:tabs>
              <w:tab w:val="right" w:leader="dot" w:pos="9412"/>
            </w:tabs>
            <w:spacing w:line="360" w:lineRule="auto"/>
          </w:pPr>
          <w:r>
            <w:fldChar w:fldCharType="begin"/>
          </w:r>
          <w:r>
            <w:instrText xml:space="preserve"> HYPERLINK \l _Toc1928560631 </w:instrText>
          </w:r>
          <w:r>
            <w:fldChar w:fldCharType="separate"/>
          </w:r>
          <w:r>
            <w:rPr>
              <w:rFonts w:hint="eastAsia" w:ascii="Times New Roman" w:hAnsi="Times New Roman" w:eastAsia="宋体"/>
              <w:kern w:val="2"/>
            </w:rPr>
            <w:t>（二</w:t>
          </w:r>
          <w:r>
            <w:rPr>
              <w:rFonts w:ascii="Times New Roman" w:hAnsi="Times New Roman" w:eastAsia="宋体"/>
              <w:kern w:val="2"/>
            </w:rPr>
            <w:t>）指标解释</w:t>
          </w:r>
          <w:r>
            <w:tab/>
          </w:r>
          <w:r>
            <w:fldChar w:fldCharType="begin"/>
          </w:r>
          <w:r>
            <w:instrText xml:space="preserve"> PAGEREF _Toc1928560631 \h </w:instrText>
          </w:r>
          <w:r>
            <w:fldChar w:fldCharType="separate"/>
          </w:r>
          <w:r>
            <w:t>- 15 -</w:t>
          </w:r>
          <w:r>
            <w:fldChar w:fldCharType="end"/>
          </w:r>
          <w:r>
            <w:fldChar w:fldCharType="end"/>
          </w:r>
        </w:p>
        <w:p>
          <w:pPr>
            <w:pStyle w:val="16"/>
            <w:tabs>
              <w:tab w:val="right" w:leader="dot" w:pos="9412"/>
            </w:tabs>
            <w:spacing w:line="360" w:lineRule="auto"/>
          </w:pPr>
          <w:r>
            <w:fldChar w:fldCharType="begin"/>
          </w:r>
          <w:r>
            <w:instrText xml:space="preserve"> HYPERLINK \l _Toc1469460456 </w:instrText>
          </w:r>
          <w:r>
            <w:fldChar w:fldCharType="separate"/>
          </w:r>
          <w:r>
            <w:rPr>
              <w:rFonts w:hint="eastAsia" w:ascii="Times New Roman" w:hAnsi="Times New Roman" w:eastAsia="宋体"/>
              <w:kern w:val="2"/>
              <w:szCs w:val="21"/>
            </w:rPr>
            <w:t>（三）抽样调查方案</w:t>
          </w:r>
          <w:r>
            <w:tab/>
          </w:r>
          <w:r>
            <w:fldChar w:fldCharType="begin"/>
          </w:r>
          <w:r>
            <w:instrText xml:space="preserve"> PAGEREF _Toc1469460456 \h </w:instrText>
          </w:r>
          <w:r>
            <w:fldChar w:fldCharType="separate"/>
          </w:r>
          <w:r>
            <w:t>- 18 -</w:t>
          </w:r>
          <w:r>
            <w:fldChar w:fldCharType="end"/>
          </w:r>
          <w:r>
            <w:fldChar w:fldCharType="end"/>
          </w:r>
        </w:p>
        <w:p>
          <w:r>
            <w:fldChar w:fldCharType="end"/>
          </w:r>
        </w:p>
      </w:sdtContent>
    </w:sdt>
    <w:p>
      <w:pPr>
        <w:spacing w:before="720" w:beforeLines="300" w:after="480" w:afterLines="200" w:line="340" w:lineRule="exact"/>
        <w:jc w:val="center"/>
        <w:outlineLvl w:val="0"/>
        <w:rPr>
          <w:rFonts w:ascii="黑体" w:hAnsi="宋体" w:eastAsia="黑体"/>
          <w:sz w:val="32"/>
        </w:rPr>
      </w:pPr>
      <w:r>
        <w:rPr>
          <w:rFonts w:ascii="黑体" w:hAnsi="宋体" w:eastAsia="黑体"/>
          <w:sz w:val="32"/>
        </w:rPr>
        <w:br w:type="page"/>
      </w:r>
      <w:bookmarkStart w:id="9" w:name="_Toc1085202413"/>
      <w:bookmarkStart w:id="10" w:name="_Toc176077965"/>
      <w:bookmarkStart w:id="11" w:name="_Toc1206159996"/>
      <w:bookmarkStart w:id="12" w:name="_Toc978916974"/>
      <w:bookmarkStart w:id="13" w:name="_Toc1031497675"/>
      <w:bookmarkStart w:id="14" w:name="_Toc94707686"/>
      <w:bookmarkStart w:id="15" w:name="_Toc420643348"/>
      <w:bookmarkStart w:id="16" w:name="_Toc795276631"/>
      <w:r>
        <w:rPr>
          <w:rFonts w:hint="eastAsia" w:ascii="黑体" w:hAnsi="宋体" w:eastAsia="黑体"/>
          <w:sz w:val="32"/>
        </w:rPr>
        <w:t>一、总　说　明</w:t>
      </w:r>
      <w:bookmarkEnd w:id="9"/>
      <w:bookmarkEnd w:id="10"/>
      <w:bookmarkEnd w:id="11"/>
      <w:bookmarkEnd w:id="12"/>
      <w:bookmarkEnd w:id="13"/>
      <w:bookmarkEnd w:id="14"/>
      <w:bookmarkEnd w:id="15"/>
      <w:bookmarkEnd w:id="16"/>
    </w:p>
    <w:p>
      <w:pPr>
        <w:spacing w:line="340" w:lineRule="exact"/>
        <w:ind w:firstLine="420" w:firstLineChars="200"/>
        <w:rPr>
          <w:rFonts w:ascii="宋体"/>
        </w:rPr>
      </w:pPr>
      <w:r>
        <w:rPr>
          <w:rFonts w:hint="eastAsia" w:ascii="宋体"/>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pPr>
        <w:spacing w:line="340" w:lineRule="exact"/>
        <w:ind w:firstLine="420" w:firstLineChars="200"/>
        <w:rPr>
          <w:rFonts w:ascii="宋体"/>
        </w:rPr>
      </w:pPr>
      <w:r>
        <w:rPr>
          <w:rFonts w:hint="eastAsia" w:ascii="宋体"/>
        </w:rPr>
        <w:t>（二）本制度是辽宁省统计报表制度的重要组成部分，是辽宁省统计局对各市</w:t>
      </w:r>
      <w:r>
        <w:rPr>
          <w:rFonts w:hint="eastAsia" w:ascii="宋体"/>
          <w:szCs w:val="21"/>
        </w:rPr>
        <w:t>统计局</w:t>
      </w:r>
      <w:r>
        <w:rPr>
          <w:rFonts w:hint="eastAsia" w:ascii="宋体"/>
        </w:rPr>
        <w:t>在劳动工资统计方面的综合要求，各地区应按照全省统一规定的统计范围、计算方法、统计原则，认真组织实施，按时报送。统计机构在查询或核实统计数据时，核查对象单位应按时、按要求提供数据填报凭证资料或依据。</w:t>
      </w:r>
    </w:p>
    <w:p>
      <w:pPr>
        <w:spacing w:line="340" w:lineRule="exact"/>
        <w:ind w:firstLine="420" w:firstLineChars="200"/>
        <w:rPr>
          <w:rFonts w:ascii="宋体"/>
        </w:rPr>
      </w:pPr>
      <w:r>
        <w:rPr>
          <w:rFonts w:hint="eastAsia" w:ascii="宋体"/>
        </w:rPr>
        <w:t>（三）调查对象</w:t>
      </w:r>
    </w:p>
    <w:p>
      <w:pPr>
        <w:spacing w:line="340" w:lineRule="exact"/>
        <w:ind w:firstLine="420" w:firstLineChars="200"/>
        <w:rPr>
          <w:rFonts w:ascii="宋体"/>
        </w:rPr>
      </w:pPr>
      <w:r>
        <w:rPr>
          <w:rFonts w:hint="eastAsia" w:ascii="宋体"/>
        </w:rPr>
        <w:t>本制度的统计调查对象是法人单位，包括统计上认定的视同法人单位的产业活动单位。调查对象</w:t>
      </w:r>
      <w:r>
        <w:rPr>
          <w:rFonts w:hint="eastAsia" w:ascii="宋体"/>
          <w:color w:val="000000"/>
          <w:szCs w:val="21"/>
        </w:rPr>
        <w:t>不</w:t>
      </w:r>
      <w:r>
        <w:rPr>
          <w:rFonts w:ascii="宋体"/>
          <w:color w:val="000000"/>
          <w:szCs w:val="21"/>
        </w:rPr>
        <w:t>包</w:t>
      </w:r>
      <w:r>
        <w:rPr>
          <w:rFonts w:hint="eastAsia" w:ascii="宋体"/>
          <w:color w:val="000000"/>
          <w:szCs w:val="21"/>
        </w:rPr>
        <w:t>括一</w:t>
      </w:r>
      <w:r>
        <w:rPr>
          <w:rFonts w:ascii="宋体"/>
          <w:color w:val="000000"/>
          <w:szCs w:val="21"/>
        </w:rPr>
        <w:t>套人马多块牌子</w:t>
      </w:r>
      <w:r>
        <w:rPr>
          <w:rFonts w:hint="eastAsia" w:ascii="宋体"/>
          <w:color w:val="000000"/>
          <w:szCs w:val="21"/>
        </w:rPr>
        <w:t>、</w:t>
      </w:r>
      <w:r>
        <w:rPr>
          <w:rFonts w:ascii="宋体"/>
          <w:color w:val="000000"/>
          <w:szCs w:val="21"/>
        </w:rPr>
        <w:t>寺庙</w:t>
      </w:r>
      <w:r>
        <w:rPr>
          <w:rFonts w:hint="eastAsia" w:ascii="宋体"/>
          <w:color w:val="000000"/>
          <w:szCs w:val="21"/>
        </w:rPr>
        <w:t>、</w:t>
      </w:r>
      <w:r>
        <w:rPr>
          <w:rFonts w:ascii="宋体"/>
          <w:color w:val="000000"/>
          <w:szCs w:val="21"/>
        </w:rPr>
        <w:t>宗教场所</w:t>
      </w:r>
      <w:r>
        <w:rPr>
          <w:rFonts w:hint="eastAsia" w:ascii="宋体"/>
          <w:color w:val="000000"/>
          <w:szCs w:val="21"/>
        </w:rPr>
        <w:t>、协会、学会</w:t>
      </w:r>
      <w:r>
        <w:rPr>
          <w:rFonts w:ascii="宋体"/>
          <w:color w:val="000000"/>
          <w:szCs w:val="21"/>
        </w:rPr>
        <w:t>、农民专业合作社</w:t>
      </w:r>
      <w:r>
        <w:rPr>
          <w:rFonts w:hint="eastAsia" w:ascii="宋体"/>
          <w:color w:val="000000"/>
          <w:szCs w:val="21"/>
        </w:rPr>
        <w:t>等虽然有人员但</w:t>
      </w:r>
      <w:r>
        <w:rPr>
          <w:rFonts w:ascii="宋体"/>
          <w:color w:val="000000"/>
          <w:szCs w:val="21"/>
        </w:rPr>
        <w:t>没有工资发放</w:t>
      </w:r>
      <w:r>
        <w:rPr>
          <w:rFonts w:hint="eastAsia" w:ascii="宋体"/>
          <w:color w:val="000000"/>
          <w:szCs w:val="21"/>
        </w:rPr>
        <w:t>行为的</w:t>
      </w:r>
      <w:r>
        <w:rPr>
          <w:rFonts w:ascii="宋体"/>
          <w:color w:val="000000"/>
          <w:szCs w:val="21"/>
        </w:rPr>
        <w:t>单位</w:t>
      </w:r>
      <w:r>
        <w:rPr>
          <w:rFonts w:hint="eastAsia" w:ascii="宋体"/>
          <w:color w:val="000000"/>
          <w:szCs w:val="21"/>
        </w:rPr>
        <w:t>。</w:t>
      </w:r>
    </w:p>
    <w:p>
      <w:pPr>
        <w:spacing w:line="340" w:lineRule="exact"/>
        <w:ind w:firstLine="420" w:firstLineChars="200"/>
        <w:rPr>
          <w:rFonts w:ascii="宋体"/>
          <w:color w:val="000000"/>
          <w:szCs w:val="21"/>
        </w:rPr>
      </w:pPr>
      <w:r>
        <w:rPr>
          <w:rFonts w:hint="eastAsia" w:ascii="宋体"/>
        </w:rPr>
        <w:t>（四）调查范围、内容及原则</w:t>
      </w:r>
    </w:p>
    <w:p>
      <w:pPr>
        <w:spacing w:line="340" w:lineRule="exact"/>
        <w:ind w:firstLine="420" w:firstLineChars="200"/>
        <w:outlineLvl w:val="9"/>
        <w:rPr>
          <w:rFonts w:ascii="宋体"/>
          <w:color w:val="000000"/>
          <w:szCs w:val="21"/>
        </w:rPr>
      </w:pPr>
      <w:bookmarkStart w:id="17" w:name="_Toc1483308694"/>
      <w:bookmarkStart w:id="18" w:name="_Toc960876924"/>
      <w:bookmarkStart w:id="19" w:name="_Toc1759188625"/>
      <w:bookmarkStart w:id="20" w:name="_Toc1049338514"/>
      <w:bookmarkStart w:id="21" w:name="_Toc940429502"/>
      <w:bookmarkStart w:id="22" w:name="_Toc567100641"/>
      <w:bookmarkStart w:id="23" w:name="_Toc1849555348"/>
      <w:r>
        <w:rPr>
          <w:rFonts w:hint="eastAsia" w:ascii="宋体"/>
          <w:color w:val="000000"/>
          <w:szCs w:val="21"/>
        </w:rPr>
        <w:t>1.调查范围</w:t>
      </w:r>
      <w:bookmarkEnd w:id="17"/>
      <w:bookmarkEnd w:id="18"/>
      <w:bookmarkEnd w:id="19"/>
      <w:bookmarkEnd w:id="20"/>
      <w:bookmarkEnd w:id="21"/>
      <w:bookmarkEnd w:id="22"/>
      <w:bookmarkEnd w:id="23"/>
    </w:p>
    <w:p>
      <w:pPr>
        <w:spacing w:line="340" w:lineRule="exact"/>
        <w:ind w:firstLine="420" w:firstLineChars="200"/>
        <w:rPr>
          <w:rFonts w:ascii="宋体"/>
          <w:color w:val="000000"/>
          <w:szCs w:val="21"/>
        </w:rPr>
      </w:pPr>
      <w:r>
        <w:rPr>
          <w:rFonts w:hint="eastAsia" w:ascii="宋体"/>
          <w:color w:val="000000"/>
          <w:szCs w:val="21"/>
        </w:rPr>
        <w:t>统计范围为全部地域的法人单位。</w:t>
      </w:r>
    </w:p>
    <w:p>
      <w:pPr>
        <w:spacing w:line="340" w:lineRule="exact"/>
        <w:ind w:firstLine="420" w:firstLineChars="200"/>
        <w:outlineLvl w:val="9"/>
        <w:rPr>
          <w:rFonts w:ascii="宋体"/>
          <w:color w:val="000000"/>
          <w:szCs w:val="21"/>
        </w:rPr>
      </w:pPr>
      <w:bookmarkStart w:id="24" w:name="_Toc1042644459"/>
      <w:bookmarkStart w:id="25" w:name="_Toc2040033321"/>
      <w:bookmarkStart w:id="26" w:name="_Toc167519702"/>
      <w:bookmarkStart w:id="27" w:name="_Toc1382759906"/>
      <w:bookmarkStart w:id="28" w:name="_Toc476032845"/>
      <w:bookmarkStart w:id="29" w:name="_Toc1975541141"/>
      <w:bookmarkStart w:id="30" w:name="_Toc579922715"/>
      <w:r>
        <w:rPr>
          <w:rFonts w:hint="eastAsia" w:ascii="宋体"/>
          <w:color w:val="000000"/>
          <w:szCs w:val="21"/>
        </w:rPr>
        <w:t>2.调查内容</w:t>
      </w:r>
      <w:bookmarkEnd w:id="24"/>
      <w:bookmarkEnd w:id="25"/>
      <w:bookmarkEnd w:id="26"/>
      <w:bookmarkEnd w:id="27"/>
      <w:bookmarkEnd w:id="28"/>
      <w:bookmarkEnd w:id="29"/>
      <w:bookmarkEnd w:id="30"/>
    </w:p>
    <w:p>
      <w:pPr>
        <w:spacing w:line="340" w:lineRule="exact"/>
        <w:ind w:firstLine="420" w:firstLineChars="200"/>
        <w:rPr>
          <w:rFonts w:ascii="宋体"/>
          <w:color w:val="000000"/>
          <w:szCs w:val="21"/>
        </w:rPr>
      </w:pPr>
      <w:r>
        <w:rPr>
          <w:rFonts w:hint="eastAsia" w:ascii="宋体"/>
          <w:color w:val="000000"/>
          <w:szCs w:val="21"/>
        </w:rPr>
        <w:t>本制度的统计调查内容是调查对象单位中的从业人员及工资总额等情况。</w:t>
      </w:r>
    </w:p>
    <w:p>
      <w:pPr>
        <w:spacing w:line="340" w:lineRule="exact"/>
        <w:ind w:firstLine="420" w:firstLineChars="200"/>
        <w:outlineLvl w:val="9"/>
        <w:rPr>
          <w:rFonts w:ascii="宋体"/>
          <w:color w:val="000000"/>
          <w:szCs w:val="21"/>
        </w:rPr>
      </w:pPr>
      <w:bookmarkStart w:id="31" w:name="_Toc226326591"/>
      <w:bookmarkStart w:id="32" w:name="_Toc2125973002"/>
      <w:bookmarkStart w:id="33" w:name="_Toc1235988684"/>
      <w:bookmarkStart w:id="34" w:name="_Toc1220764228"/>
      <w:bookmarkStart w:id="35" w:name="_Toc1199078925"/>
      <w:bookmarkStart w:id="36" w:name="_Toc2031265315"/>
      <w:bookmarkStart w:id="37" w:name="_Toc1403944493"/>
      <w:r>
        <w:rPr>
          <w:rFonts w:hint="eastAsia" w:ascii="宋体"/>
          <w:color w:val="000000"/>
          <w:szCs w:val="21"/>
        </w:rPr>
        <w:t>3.统计原则</w:t>
      </w:r>
      <w:bookmarkEnd w:id="31"/>
      <w:bookmarkEnd w:id="32"/>
      <w:bookmarkEnd w:id="33"/>
      <w:bookmarkEnd w:id="34"/>
      <w:bookmarkEnd w:id="35"/>
      <w:bookmarkEnd w:id="36"/>
      <w:bookmarkEnd w:id="37"/>
    </w:p>
    <w:p>
      <w:pPr>
        <w:spacing w:line="340" w:lineRule="exact"/>
        <w:ind w:firstLine="420" w:firstLineChars="200"/>
        <w:rPr>
          <w:rFonts w:ascii="宋体"/>
          <w:color w:val="000000"/>
          <w:szCs w:val="21"/>
        </w:rPr>
      </w:pPr>
      <w:r>
        <w:rPr>
          <w:rFonts w:hint="eastAsia" w:ascii="宋体"/>
          <w:color w:val="000000"/>
          <w:szCs w:val="21"/>
        </w:rPr>
        <w:t>本制度以“谁发工资谁统计（劳务派遣人员除外）”为基本原则，劳务派遣人员按照“谁用工谁统计”的原则统计。调查单位在本地区以外的产业活动单位，其人员和工资应包含在本法人单位中。</w:t>
      </w:r>
    </w:p>
    <w:p>
      <w:pPr>
        <w:spacing w:line="340" w:lineRule="exact"/>
        <w:ind w:firstLine="420" w:firstLineChars="200"/>
        <w:rPr>
          <w:rFonts w:ascii="宋体"/>
          <w:color w:val="000000"/>
          <w:szCs w:val="21"/>
        </w:rPr>
      </w:pPr>
      <w:r>
        <w:rPr>
          <w:rFonts w:hint="eastAsia" w:ascii="宋体"/>
          <w:color w:val="000000"/>
          <w:szCs w:val="21"/>
        </w:rPr>
        <w:t>（五）调查方法</w:t>
      </w:r>
    </w:p>
    <w:p>
      <w:pPr>
        <w:spacing w:line="340" w:lineRule="exact"/>
        <w:ind w:firstLine="420" w:firstLineChars="200"/>
        <w:rPr>
          <w:rFonts w:ascii="宋体"/>
          <w:szCs w:val="21"/>
        </w:rPr>
      </w:pPr>
      <w:r>
        <w:rPr>
          <w:rFonts w:hint="eastAsia" w:ascii="宋体"/>
          <w:szCs w:val="21"/>
        </w:rPr>
        <w:t>采用全面调查</w:t>
      </w:r>
      <w:r>
        <w:rPr>
          <w:rFonts w:hint="eastAsia" w:ascii="宋体"/>
          <w:szCs w:val="21"/>
          <w:highlight w:val="none"/>
        </w:rPr>
        <w:t>和</w:t>
      </w:r>
      <w:r>
        <w:rPr>
          <w:rFonts w:hint="eastAsia" w:ascii="宋体"/>
          <w:szCs w:val="21"/>
        </w:rPr>
        <w:t>抽样调查</w:t>
      </w:r>
      <w:r>
        <w:rPr>
          <w:rFonts w:hint="eastAsia" w:ascii="宋体"/>
          <w:szCs w:val="21"/>
          <w:highlight w:val="none"/>
        </w:rPr>
        <w:t>相结合的</w:t>
      </w:r>
      <w:r>
        <w:rPr>
          <w:rFonts w:hint="eastAsia" w:ascii="宋体"/>
          <w:szCs w:val="21"/>
        </w:rPr>
        <w:t>方法。开网前，需</w:t>
      </w:r>
      <w:r>
        <w:rPr>
          <w:rFonts w:hint="eastAsia" w:ascii="宋体"/>
          <w:color w:val="000000"/>
          <w:szCs w:val="21"/>
          <w:highlight w:val="none"/>
        </w:rPr>
        <w:t>确定的调查单位名录基本属性信息</w:t>
      </w:r>
      <w:r>
        <w:rPr>
          <w:rFonts w:hint="eastAsia" w:ascii="宋体"/>
          <w:color w:val="000000"/>
          <w:szCs w:val="21"/>
        </w:rPr>
        <w:t>，</w:t>
      </w:r>
      <w:r>
        <w:rPr>
          <w:rFonts w:hint="eastAsia" w:ascii="宋体"/>
          <w:color w:val="000000"/>
          <w:szCs w:val="21"/>
          <w:highlight w:val="none"/>
        </w:rPr>
        <w:t>若单位基本属性信息经核实有误，统计机构可按规定进行调整。</w:t>
      </w:r>
      <w:r>
        <w:rPr>
          <w:rFonts w:hint="eastAsia" w:ascii="宋体"/>
          <w:szCs w:val="21"/>
        </w:rPr>
        <w:t>调查单位可以直接通过国家</w:t>
      </w:r>
      <w:r>
        <w:rPr>
          <w:rFonts w:hint="eastAsia" w:ascii="宋体"/>
          <w:color w:val="auto"/>
          <w:szCs w:val="21"/>
          <w:highlight w:val="none"/>
        </w:rPr>
        <w:t>统计局</w:t>
      </w:r>
      <w:r>
        <w:rPr>
          <w:rFonts w:hint="eastAsia" w:ascii="宋体"/>
          <w:szCs w:val="21"/>
        </w:rPr>
        <w:t>统计</w:t>
      </w:r>
      <w:r>
        <w:rPr>
          <w:rFonts w:hint="eastAsia" w:ascii="宋体"/>
          <w:szCs w:val="21"/>
          <w:highlight w:val="none"/>
        </w:rPr>
        <w:t>云</w:t>
      </w:r>
      <w:r>
        <w:rPr>
          <w:rFonts w:hint="eastAsia" w:ascii="宋体"/>
          <w:szCs w:val="21"/>
        </w:rPr>
        <w:t>联网直报门户</w:t>
      </w:r>
      <w:r>
        <w:rPr>
          <w:rFonts w:hint="eastAsia" w:ascii="宋体"/>
          <w:color w:val="auto"/>
          <w:szCs w:val="21"/>
        </w:rPr>
        <w:t>登录入口报送数</w:t>
      </w:r>
      <w:r>
        <w:rPr>
          <w:rFonts w:hint="eastAsia" w:ascii="宋体"/>
          <w:szCs w:val="21"/>
        </w:rPr>
        <w:t>据。没有联网直报条件的调查单位可以通过其他形式报送报表，由统计机构按规定流程代录数据。国家铁路运输业年度数据由国家统计局从中国国家铁路集团有限公司取得后反馈各地区。</w:t>
      </w:r>
    </w:p>
    <w:p>
      <w:pPr>
        <w:spacing w:line="340" w:lineRule="exact"/>
        <w:ind w:firstLine="420" w:firstLineChars="200"/>
        <w:rPr>
          <w:rFonts w:ascii="宋体"/>
          <w:b/>
          <w:color w:val="000000"/>
        </w:rPr>
      </w:pPr>
      <w:r>
        <w:rPr>
          <w:rFonts w:hint="eastAsia" w:ascii="宋体"/>
          <w:color w:val="000000"/>
          <w:szCs w:val="21"/>
        </w:rPr>
        <w:t>（六）</w:t>
      </w:r>
      <w:r>
        <w:rPr>
          <w:rFonts w:hint="eastAsia" w:ascii="宋体"/>
          <w:color w:val="000000"/>
        </w:rPr>
        <w:t>本制度各报表的报送时间、报送方式、填报方法、各级验收截止时间及其他有关事项，请按照制度中各项具体说明和规定执行。</w:t>
      </w:r>
    </w:p>
    <w:p>
      <w:pPr>
        <w:spacing w:line="340" w:lineRule="exact"/>
        <w:ind w:firstLine="420" w:firstLineChars="200"/>
        <w:rPr>
          <w:rFonts w:ascii="宋体" w:hAnsi="宋体"/>
          <w:color w:val="000000"/>
          <w:szCs w:val="21"/>
        </w:rPr>
      </w:pPr>
      <w:r>
        <w:rPr>
          <w:rFonts w:hint="eastAsia" w:ascii="宋体"/>
          <w:color w:val="000000"/>
          <w:szCs w:val="21"/>
        </w:rPr>
        <w:t>（七</w:t>
      </w:r>
      <w:r>
        <w:rPr>
          <w:rFonts w:hint="eastAsia" w:ascii="宋体" w:hAnsi="宋体"/>
          <w:color w:val="000000"/>
          <w:szCs w:val="21"/>
        </w:rPr>
        <w:t>）计量</w:t>
      </w:r>
      <w:r>
        <w:rPr>
          <w:rFonts w:ascii="宋体" w:hAnsi="宋体"/>
          <w:color w:val="000000"/>
          <w:szCs w:val="21"/>
        </w:rPr>
        <w:t>单位</w:t>
      </w:r>
    </w:p>
    <w:p>
      <w:pPr>
        <w:spacing w:line="340" w:lineRule="exact"/>
        <w:ind w:firstLine="420" w:firstLineChars="200"/>
        <w:rPr>
          <w:rFonts w:ascii="宋体"/>
          <w:color w:val="000000"/>
          <w:szCs w:val="21"/>
        </w:rPr>
      </w:pPr>
      <w:r>
        <w:rPr>
          <w:rFonts w:hint="eastAsia" w:ascii="宋体" w:hAnsi="宋体"/>
          <w:color w:val="000000"/>
          <w:szCs w:val="21"/>
        </w:rPr>
        <w:t>从业人员指标以“人”为计量单位，工资总额指标以“千元”为计量单位，</w:t>
      </w:r>
      <w:r>
        <w:rPr>
          <w:rFonts w:hint="eastAsia" w:ascii="宋体"/>
          <w:color w:val="000000"/>
          <w:szCs w:val="21"/>
        </w:rPr>
        <w:t>均保留整数位。</w:t>
      </w:r>
    </w:p>
    <w:p>
      <w:pPr>
        <w:spacing w:line="340" w:lineRule="exact"/>
        <w:ind w:firstLine="420" w:firstLineChars="200"/>
        <w:rPr>
          <w:rFonts w:ascii="宋体"/>
          <w:color w:val="000000"/>
        </w:rPr>
      </w:pPr>
      <w:r>
        <w:rPr>
          <w:rFonts w:hint="eastAsia" w:ascii="宋体"/>
          <w:color w:val="000000"/>
          <w:szCs w:val="21"/>
        </w:rPr>
        <w:t>（八）</w:t>
      </w:r>
      <w:r>
        <w:rPr>
          <w:rFonts w:hint="eastAsia" w:ascii="宋体"/>
          <w:color w:val="000000"/>
        </w:rPr>
        <w:t>统计</w:t>
      </w:r>
      <w:r>
        <w:rPr>
          <w:rFonts w:ascii="宋体"/>
          <w:color w:val="000000"/>
        </w:rPr>
        <w:t>资料公布</w:t>
      </w:r>
    </w:p>
    <w:p>
      <w:pPr>
        <w:spacing w:line="340" w:lineRule="exact"/>
        <w:ind w:firstLine="420" w:firstLineChars="200"/>
        <w:rPr>
          <w:rFonts w:ascii="宋体"/>
          <w:color w:val="000000"/>
        </w:rPr>
        <w:sectPr>
          <w:headerReference r:id="rId3" w:type="default"/>
          <w:headerReference r:id="rId4" w:type="even"/>
          <w:pgSz w:w="11906" w:h="16838"/>
          <w:pgMar w:top="1418" w:right="1247" w:bottom="1247" w:left="1247" w:header="851" w:footer="851" w:gutter="0"/>
          <w:pgNumType w:fmt="numberInDash" w:start="1"/>
          <w:cols w:space="720" w:num="1"/>
          <w:docGrid w:linePitch="312" w:charSpace="0"/>
        </w:sectPr>
      </w:pPr>
      <w:r>
        <w:rPr>
          <w:rFonts w:hint="eastAsia" w:ascii="宋体"/>
          <w:color w:val="000000"/>
        </w:rPr>
        <w:t>本</w:t>
      </w:r>
      <w:r>
        <w:rPr>
          <w:rFonts w:ascii="宋体"/>
          <w:color w:val="000000"/>
        </w:rPr>
        <w:t>制度</w:t>
      </w:r>
      <w:r>
        <w:rPr>
          <w:rFonts w:hint="eastAsia" w:ascii="宋体"/>
          <w:color w:val="000000"/>
        </w:rPr>
        <w:t>取得</w:t>
      </w:r>
      <w:r>
        <w:rPr>
          <w:rFonts w:ascii="宋体"/>
          <w:color w:val="000000"/>
        </w:rPr>
        <w:t>的主要统计资料，将于次</w:t>
      </w:r>
      <w:r>
        <w:rPr>
          <w:rFonts w:hint="eastAsia" w:ascii="宋体"/>
          <w:color w:val="000000"/>
        </w:rPr>
        <w:t>年</w:t>
      </w:r>
      <w:r>
        <w:rPr>
          <w:rFonts w:ascii="宋体"/>
          <w:color w:val="000000"/>
        </w:rPr>
        <w:t>通过</w:t>
      </w:r>
      <w:r>
        <w:rPr>
          <w:rFonts w:hint="eastAsia" w:ascii="宋体"/>
          <w:color w:val="000000"/>
        </w:rPr>
        <w:t>辽宁</w:t>
      </w:r>
      <w:r>
        <w:rPr>
          <w:rFonts w:ascii="宋体"/>
          <w:color w:val="000000"/>
        </w:rPr>
        <w:t>省统计局网站、《</w:t>
      </w:r>
      <w:r>
        <w:rPr>
          <w:rFonts w:hint="eastAsia" w:ascii="宋体"/>
          <w:color w:val="000000"/>
        </w:rPr>
        <w:t>辽宁</w:t>
      </w:r>
      <w:r>
        <w:rPr>
          <w:rFonts w:ascii="宋体"/>
          <w:color w:val="000000"/>
        </w:rPr>
        <w:t>统计年鉴》</w:t>
      </w:r>
      <w:r>
        <w:rPr>
          <w:rFonts w:hint="eastAsia" w:ascii="宋体"/>
          <w:color w:val="000000"/>
        </w:rPr>
        <w:t>等</w:t>
      </w:r>
      <w:r>
        <w:rPr>
          <w:rFonts w:ascii="宋体"/>
          <w:color w:val="000000"/>
        </w:rPr>
        <w:t>方式公布</w:t>
      </w:r>
      <w:r>
        <w:rPr>
          <w:rFonts w:hint="eastAsia" w:ascii="宋体"/>
          <w:color w:val="000000"/>
        </w:rPr>
        <w:t>。各市可在省发布数据后发布本地区主要工资数据，与省口径相同的指标，应与省核定数据一致；发布前需将发布文稿和数据报省人口处审批和备案。</w:t>
      </w:r>
    </w:p>
    <w:p>
      <w:pPr>
        <w:spacing w:before="360" w:beforeLines="150" w:after="120" w:afterLines="50" w:line="440" w:lineRule="exact"/>
        <w:jc w:val="center"/>
        <w:outlineLvl w:val="0"/>
        <w:rPr>
          <w:rFonts w:ascii="宋体"/>
          <w:color w:val="000000"/>
        </w:rPr>
      </w:pPr>
      <w:bookmarkStart w:id="38" w:name="_Toc968535293"/>
      <w:bookmarkStart w:id="39" w:name="_Toc299890374"/>
      <w:bookmarkStart w:id="40" w:name="_Toc1356830316"/>
      <w:bookmarkStart w:id="41" w:name="_Toc1908964795"/>
      <w:bookmarkStart w:id="42" w:name="_Toc956208800"/>
      <w:bookmarkStart w:id="43" w:name="_Toc1587778798"/>
      <w:bookmarkStart w:id="44" w:name="_Toc1735620600"/>
      <w:bookmarkStart w:id="45" w:name="_Toc1004286642"/>
      <w:r>
        <w:rPr>
          <w:rFonts w:hint="eastAsia" w:ascii="黑体" w:eastAsia="黑体"/>
          <w:color w:val="000000"/>
          <w:sz w:val="32"/>
        </w:rPr>
        <w:t>二、报 表 目 录</w:t>
      </w:r>
      <w:bookmarkEnd w:id="38"/>
      <w:bookmarkEnd w:id="39"/>
      <w:bookmarkEnd w:id="40"/>
      <w:bookmarkEnd w:id="41"/>
      <w:bookmarkEnd w:id="42"/>
      <w:bookmarkEnd w:id="43"/>
      <w:bookmarkEnd w:id="44"/>
      <w:bookmarkEnd w:id="45"/>
    </w:p>
    <w:p>
      <w:pPr>
        <w:jc w:val="center"/>
        <w:rPr>
          <w:rFonts w:ascii="宋体"/>
          <w:b/>
        </w:rPr>
      </w:pPr>
    </w:p>
    <w:tbl>
      <w:tblPr>
        <w:tblStyle w:val="20"/>
        <w:tblW w:w="945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087"/>
        <w:gridCol w:w="1118"/>
        <w:gridCol w:w="540"/>
        <w:gridCol w:w="2588"/>
        <w:gridCol w:w="992"/>
        <w:gridCol w:w="1663"/>
        <w:gridCol w:w="1470"/>
        <w:tblGridChange w:id="0">
          <w:tblGrid>
            <w:gridCol w:w="1087"/>
            <w:gridCol w:w="1118"/>
            <w:gridCol w:w="540"/>
            <w:gridCol w:w="2588"/>
            <w:gridCol w:w="992"/>
            <w:gridCol w:w="1663"/>
            <w:gridCol w:w="1470"/>
          </w:tblGrid>
        </w:tblGridChange>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168" w:hRule="atLeast"/>
        </w:trPr>
        <w:tc>
          <w:tcPr>
            <w:tcW w:w="1087"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表号</w:t>
            </w:r>
          </w:p>
        </w:tc>
        <w:tc>
          <w:tcPr>
            <w:tcW w:w="1118"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表名</w:t>
            </w:r>
          </w:p>
        </w:tc>
        <w:tc>
          <w:tcPr>
            <w:tcW w:w="540"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报告</w:t>
            </w:r>
          </w:p>
          <w:p>
            <w:pPr>
              <w:jc w:val="center"/>
              <w:rPr>
                <w:rFonts w:ascii="宋体" w:hAnsi="宋体" w:cs="宋体"/>
                <w:sz w:val="18"/>
                <w:szCs w:val="18"/>
              </w:rPr>
            </w:pPr>
            <w:r>
              <w:rPr>
                <w:rFonts w:hint="eastAsia" w:ascii="宋体" w:hAnsi="宋体"/>
                <w:sz w:val="18"/>
                <w:szCs w:val="18"/>
              </w:rPr>
              <w:t>期别</w:t>
            </w:r>
          </w:p>
        </w:tc>
        <w:tc>
          <w:tcPr>
            <w:tcW w:w="2588"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填报范围</w:t>
            </w:r>
          </w:p>
        </w:tc>
        <w:tc>
          <w:tcPr>
            <w:tcW w:w="992"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报送单位</w:t>
            </w:r>
          </w:p>
        </w:tc>
        <w:tc>
          <w:tcPr>
            <w:tcW w:w="1663"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报送日期</w:t>
            </w:r>
          </w:p>
          <w:p>
            <w:pPr>
              <w:jc w:val="center"/>
              <w:rPr>
                <w:rFonts w:ascii="宋体" w:hAnsi="宋体" w:cs="宋体"/>
                <w:sz w:val="18"/>
                <w:szCs w:val="18"/>
              </w:rPr>
            </w:pPr>
            <w:r>
              <w:rPr>
                <w:rFonts w:hint="eastAsia" w:ascii="宋体" w:hAnsi="宋体"/>
                <w:sz w:val="18"/>
                <w:szCs w:val="18"/>
              </w:rPr>
              <w:t>及 方 式</w:t>
            </w:r>
          </w:p>
        </w:tc>
        <w:tc>
          <w:tcPr>
            <w:tcW w:w="1470" w:type="dxa"/>
            <w:tcBorders>
              <w:right w:val="nil"/>
            </w:tcBorders>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市级统计机</w:t>
            </w:r>
          </w:p>
          <w:p>
            <w:pPr>
              <w:jc w:val="center"/>
              <w:rPr>
                <w:rFonts w:ascii="宋体" w:hAnsi="宋体"/>
                <w:sz w:val="18"/>
                <w:szCs w:val="18"/>
              </w:rPr>
            </w:pPr>
            <w:r>
              <w:rPr>
                <w:rFonts w:hint="eastAsia" w:ascii="宋体" w:hAnsi="宋体"/>
                <w:sz w:val="18"/>
                <w:szCs w:val="18"/>
              </w:rPr>
              <w:t>构数据审核</w:t>
            </w:r>
          </w:p>
          <w:p>
            <w:pPr>
              <w:jc w:val="center"/>
              <w:rPr>
                <w:rFonts w:ascii="宋体" w:hAnsi="宋体"/>
                <w:sz w:val="18"/>
                <w:szCs w:val="18"/>
              </w:rPr>
            </w:pPr>
            <w:r>
              <w:rPr>
                <w:rFonts w:hint="eastAsia" w:ascii="宋体" w:hAnsi="宋体"/>
                <w:sz w:val="18"/>
                <w:szCs w:val="18"/>
              </w:rPr>
              <w:t>验收、上报</w:t>
            </w:r>
          </w:p>
          <w:p>
            <w:pPr>
              <w:jc w:val="center"/>
              <w:rPr>
                <w:rFonts w:ascii="宋体" w:hAnsi="宋体" w:cs="宋体"/>
                <w:sz w:val="18"/>
                <w:szCs w:val="18"/>
              </w:rPr>
            </w:pPr>
            <w:r>
              <w:rPr>
                <w:rFonts w:hint="eastAsia" w:ascii="宋体" w:hAnsi="宋体"/>
                <w:sz w:val="18"/>
                <w:szCs w:val="18"/>
              </w:rPr>
              <w:t>截止时间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9458" w:type="dxa"/>
            <w:gridSpan w:val="7"/>
            <w:tcBorders>
              <w:right w:val="nil"/>
            </w:tcBorders>
            <w:tcMar>
              <w:top w:w="8" w:type="dxa"/>
              <w:left w:w="8" w:type="dxa"/>
              <w:bottom w:w="0" w:type="dxa"/>
              <w:right w:w="8" w:type="dxa"/>
            </w:tcMar>
            <w:vAlign w:val="center"/>
          </w:tcPr>
          <w:p>
            <w:pPr>
              <w:rPr>
                <w:rFonts w:ascii="宋体" w:hAnsi="宋体" w:cs="宋体"/>
                <w:sz w:val="18"/>
                <w:szCs w:val="18"/>
              </w:rPr>
            </w:pPr>
            <w:r>
              <w:rPr>
                <w:rFonts w:hint="eastAsia"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55" w:hRule="atLeast"/>
        </w:trPr>
        <w:tc>
          <w:tcPr>
            <w:tcW w:w="1087"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102-1表</w:t>
            </w:r>
          </w:p>
        </w:tc>
        <w:tc>
          <w:tcPr>
            <w:tcW w:w="1118" w:type="dxa"/>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年报</w:t>
            </w:r>
          </w:p>
        </w:tc>
        <w:tc>
          <w:tcPr>
            <w:tcW w:w="2588" w:type="dxa"/>
            <w:tcMar>
              <w:top w:w="8" w:type="dxa"/>
              <w:left w:w="8" w:type="dxa"/>
              <w:bottom w:w="0" w:type="dxa"/>
              <w:right w:w="8" w:type="dxa"/>
            </w:tcMar>
            <w:vAlign w:val="center"/>
          </w:tcPr>
          <w:p>
            <w:pPr>
              <w:ind w:left="53" w:leftChars="25" w:right="53" w:rightChars="25"/>
              <w:rPr>
                <w:rFonts w:ascii="宋体" w:hAnsi="宋体" w:cs="宋体"/>
                <w:sz w:val="18"/>
                <w:szCs w:val="18"/>
              </w:rPr>
            </w:pPr>
            <w:r>
              <w:rPr>
                <w:rFonts w:hint="eastAsia" w:ascii="宋体" w:hAnsi="宋体"/>
                <w:sz w:val="18"/>
                <w:szCs w:val="18"/>
              </w:rPr>
              <w:t>辖区内规模以上工业、有资质的建筑业、限额以上批发和零售业、限额以上住宿和餐饮业、有开发经营活动的全部房地产开发经营业、规模以上服务业法人单位</w:t>
            </w:r>
          </w:p>
        </w:tc>
        <w:tc>
          <w:tcPr>
            <w:tcW w:w="992"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rPr>
              <w:t>次年</w:t>
            </w:r>
            <w:r>
              <w:rPr>
                <w:rFonts w:ascii="宋体" w:hAnsi="宋体"/>
                <w:sz w:val="18"/>
                <w:szCs w:val="18"/>
              </w:rPr>
              <w:t>1</w:t>
            </w:r>
            <w:r>
              <w:rPr>
                <w:rFonts w:hint="eastAsia" w:ascii="宋体" w:hAnsi="宋体"/>
                <w:sz w:val="18"/>
                <w:szCs w:val="18"/>
              </w:rPr>
              <w:t>月</w:t>
            </w:r>
            <w:r>
              <w:rPr>
                <w:rFonts w:ascii="宋体" w:hAnsi="宋体"/>
                <w:sz w:val="18"/>
                <w:szCs w:val="18"/>
              </w:rPr>
              <w:t>9</w:t>
            </w:r>
            <w:r>
              <w:rPr>
                <w:rFonts w:hint="eastAsia" w:ascii="宋体" w:hAnsi="宋体"/>
                <w:sz w:val="18"/>
                <w:szCs w:val="18"/>
              </w:rPr>
              <w:t>日</w:t>
            </w:r>
          </w:p>
          <w:p>
            <w:pPr>
              <w:ind w:left="53" w:leftChars="25" w:right="53" w:rightChars="25"/>
              <w:rPr>
                <w:rFonts w:ascii="宋体" w:hAnsi="宋体" w:cs="宋体"/>
                <w:sz w:val="18"/>
                <w:szCs w:val="18"/>
              </w:rPr>
            </w:pPr>
            <w:r>
              <w:rPr>
                <w:rFonts w:ascii="宋体" w:hAnsi="宋体"/>
                <w:sz w:val="18"/>
                <w:szCs w:val="18"/>
              </w:rPr>
              <w:t>12:00前网上填报</w:t>
            </w:r>
          </w:p>
        </w:tc>
        <w:tc>
          <w:tcPr>
            <w:tcW w:w="1470" w:type="dxa"/>
            <w:tcBorders>
              <w:right w:val="nil"/>
            </w:tcBorders>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次年</w:t>
            </w:r>
            <w:r>
              <w:rPr>
                <w:rFonts w:ascii="宋体" w:hAnsi="宋体"/>
                <w:sz w:val="18"/>
                <w:szCs w:val="18"/>
                <w:highlight w:val="none"/>
              </w:rPr>
              <w:t>2</w:t>
            </w:r>
            <w:r>
              <w:rPr>
                <w:rFonts w:hint="eastAsia" w:ascii="宋体" w:hAnsi="宋体"/>
                <w:sz w:val="18"/>
                <w:szCs w:val="18"/>
              </w:rPr>
              <w:t>月</w:t>
            </w:r>
            <w:r>
              <w:rPr>
                <w:rFonts w:ascii="宋体" w:hAnsi="宋体"/>
                <w:sz w:val="18"/>
                <w:szCs w:val="18"/>
                <w:highlight w:val="none"/>
              </w:rPr>
              <w:t>2</w:t>
            </w:r>
            <w:r>
              <w:rPr>
                <w:rFonts w:ascii="宋体" w:hAnsi="宋体"/>
                <w:sz w:val="18"/>
                <w:szCs w:val="18"/>
              </w:rPr>
              <w:t>5</w:t>
            </w:r>
            <w:r>
              <w:rPr>
                <w:rFonts w:hint="eastAsia" w:ascii="宋体" w:hAnsi="宋体"/>
                <w:sz w:val="18"/>
                <w:szCs w:val="18"/>
              </w:rPr>
              <w:t>日</w:t>
            </w:r>
            <w:r>
              <w:rPr>
                <w:rFonts w:ascii="宋体" w:hAnsi="宋体"/>
                <w:sz w:val="18"/>
                <w:szCs w:val="18"/>
              </w:rPr>
              <w:t>24:00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656" w:hRule="atLeast"/>
        </w:trPr>
        <w:tc>
          <w:tcPr>
            <w:tcW w:w="1087"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I102-2表</w:t>
            </w:r>
          </w:p>
        </w:tc>
        <w:tc>
          <w:tcPr>
            <w:tcW w:w="1118" w:type="dxa"/>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年报</w:t>
            </w:r>
          </w:p>
        </w:tc>
        <w:tc>
          <w:tcPr>
            <w:tcW w:w="2588" w:type="dxa"/>
            <w:tcMar>
              <w:top w:w="8" w:type="dxa"/>
              <w:left w:w="8" w:type="dxa"/>
              <w:bottom w:w="0" w:type="dxa"/>
              <w:right w:w="8" w:type="dxa"/>
            </w:tcMar>
            <w:vAlign w:val="center"/>
          </w:tcPr>
          <w:p>
            <w:pPr>
              <w:ind w:left="53" w:leftChars="25" w:right="53" w:rightChars="25"/>
              <w:rPr>
                <w:rFonts w:ascii="宋体" w:hAnsi="宋体" w:cs="宋体"/>
                <w:spacing w:val="2"/>
                <w:sz w:val="18"/>
                <w:szCs w:val="18"/>
              </w:rPr>
            </w:pPr>
            <w:r>
              <w:rPr>
                <w:rFonts w:hint="eastAsia" w:ascii="宋体" w:hAnsi="宋体"/>
                <w:spacing w:val="2"/>
                <w:sz w:val="18"/>
                <w:szCs w:val="18"/>
              </w:rPr>
              <w:t>辖区内除规模以上工业、有资质的建筑业、限额以上批发和零售业、限额以上住宿和餐饮业、有开发经营活动的全部房地产开发经营业、规模以上服务业法人单位以及机关、事业法人单位以外的抽中</w:t>
            </w:r>
            <w:r>
              <w:rPr>
                <w:rFonts w:ascii="宋体" w:hAnsi="宋体"/>
                <w:spacing w:val="2"/>
                <w:sz w:val="18"/>
                <w:szCs w:val="18"/>
              </w:rPr>
              <w:t>样本</w:t>
            </w:r>
            <w:r>
              <w:rPr>
                <w:rFonts w:hint="eastAsia" w:ascii="宋体" w:hAnsi="宋体"/>
                <w:spacing w:val="2"/>
                <w:sz w:val="18"/>
                <w:szCs w:val="18"/>
              </w:rPr>
              <w:t>法人</w:t>
            </w:r>
            <w:r>
              <w:rPr>
                <w:rFonts w:ascii="宋体" w:hAnsi="宋体"/>
                <w:spacing w:val="2"/>
                <w:sz w:val="18"/>
                <w:szCs w:val="18"/>
              </w:rPr>
              <w:t>单位</w:t>
            </w:r>
          </w:p>
        </w:tc>
        <w:tc>
          <w:tcPr>
            <w:tcW w:w="992"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right="53" w:rightChars="25"/>
              <w:rPr>
                <w:rFonts w:ascii="宋体" w:hAnsi="宋体" w:cs="宋体"/>
                <w:color w:val="000000"/>
                <w:sz w:val="18"/>
                <w:szCs w:val="18"/>
                <w:highlight w:val="yellow"/>
              </w:rPr>
            </w:pPr>
            <w:r>
              <w:rPr>
                <w:rFonts w:hint="eastAsia" w:ascii="宋体" w:hAnsi="宋体"/>
                <w:color w:val="000000"/>
                <w:sz w:val="18"/>
                <w:szCs w:val="18"/>
              </w:rPr>
              <w:t>次年</w:t>
            </w:r>
            <w:r>
              <w:rPr>
                <w:rFonts w:ascii="宋体" w:hAnsi="宋体"/>
                <w:color w:val="000000"/>
                <w:sz w:val="18"/>
                <w:szCs w:val="18"/>
              </w:rPr>
              <w:t>2月</w:t>
            </w:r>
            <w:r>
              <w:rPr>
                <w:rFonts w:ascii="宋体" w:hAnsi="宋体"/>
                <w:color w:val="000000"/>
                <w:sz w:val="18"/>
                <w:szCs w:val="18"/>
                <w:highlight w:val="none"/>
              </w:rPr>
              <w:t>20</w:t>
            </w:r>
            <w:r>
              <w:rPr>
                <w:rFonts w:hint="eastAsia" w:ascii="宋体" w:hAnsi="宋体"/>
                <w:color w:val="000000"/>
                <w:sz w:val="18"/>
                <w:szCs w:val="18"/>
              </w:rPr>
              <w:t>日</w:t>
            </w:r>
            <w:r>
              <w:rPr>
                <w:rFonts w:ascii="宋体" w:hAnsi="宋体"/>
                <w:color w:val="000000"/>
                <w:sz w:val="18"/>
                <w:szCs w:val="18"/>
              </w:rPr>
              <w:t>24:00前网上填报或通过其他形式报送</w:t>
            </w:r>
          </w:p>
        </w:tc>
        <w:tc>
          <w:tcPr>
            <w:tcW w:w="1470" w:type="dxa"/>
            <w:tcBorders>
              <w:right w:val="nil"/>
            </w:tcBorders>
            <w:tcMar>
              <w:top w:w="8" w:type="dxa"/>
              <w:left w:w="8" w:type="dxa"/>
              <w:bottom w:w="0" w:type="dxa"/>
              <w:right w:w="8" w:type="dxa"/>
            </w:tcMar>
            <w:vAlign w:val="center"/>
          </w:tcPr>
          <w:p>
            <w:pPr>
              <w:ind w:left="53" w:leftChars="25" w:right="53" w:rightChars="25"/>
              <w:jc w:val="center"/>
              <w:rPr>
                <w:rFonts w:ascii="宋体" w:hAnsi="宋体" w:cs="宋体"/>
                <w:color w:val="000000"/>
                <w:sz w:val="18"/>
                <w:szCs w:val="18"/>
              </w:rPr>
            </w:pPr>
            <w:r>
              <w:rPr>
                <w:rFonts w:hint="eastAsia" w:ascii="宋体" w:hAnsi="宋体"/>
                <w:color w:val="000000"/>
                <w:sz w:val="18"/>
                <w:szCs w:val="18"/>
              </w:rPr>
              <w:t>次年</w:t>
            </w:r>
            <w:r>
              <w:rPr>
                <w:rFonts w:ascii="宋体" w:hAnsi="宋体"/>
                <w:color w:val="000000"/>
                <w:sz w:val="18"/>
                <w:szCs w:val="18"/>
                <w:highlight w:val="none"/>
              </w:rPr>
              <w:t>2</w:t>
            </w:r>
            <w:r>
              <w:rPr>
                <w:rFonts w:hint="eastAsia" w:ascii="宋体" w:hAnsi="宋体"/>
                <w:color w:val="000000"/>
                <w:sz w:val="18"/>
                <w:szCs w:val="18"/>
              </w:rPr>
              <w:t>月</w:t>
            </w:r>
            <w:r>
              <w:rPr>
                <w:rFonts w:ascii="宋体" w:hAnsi="宋体"/>
                <w:color w:val="000000"/>
                <w:sz w:val="18"/>
                <w:szCs w:val="18"/>
              </w:rPr>
              <w:t>25</w:t>
            </w:r>
            <w:r>
              <w:rPr>
                <w:rFonts w:hint="eastAsia" w:ascii="宋体" w:hAnsi="宋体"/>
                <w:color w:val="000000"/>
                <w:sz w:val="18"/>
                <w:szCs w:val="18"/>
              </w:rPr>
              <w:t>日</w:t>
            </w:r>
            <w:r>
              <w:rPr>
                <w:rFonts w:ascii="宋体" w:hAnsi="宋体"/>
                <w:color w:val="000000"/>
                <w:sz w:val="18"/>
                <w:szCs w:val="18"/>
              </w:rPr>
              <w:t>24:00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1087"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I102-3表</w:t>
            </w:r>
          </w:p>
        </w:tc>
        <w:tc>
          <w:tcPr>
            <w:tcW w:w="1118" w:type="dxa"/>
            <w:tcMar>
              <w:top w:w="8" w:type="dxa"/>
              <w:left w:w="8" w:type="dxa"/>
              <w:bottom w:w="0" w:type="dxa"/>
              <w:right w:w="8" w:type="dxa"/>
            </w:tcMar>
            <w:vAlign w:val="center"/>
          </w:tcPr>
          <w:p>
            <w:pPr>
              <w:ind w:left="53" w:leftChars="25" w:right="53" w:rightChars="25"/>
              <w:jc w:val="center"/>
              <w:rPr>
                <w:rFonts w:ascii="宋体" w:hAnsi="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年报</w:t>
            </w:r>
          </w:p>
        </w:tc>
        <w:tc>
          <w:tcPr>
            <w:tcW w:w="2588" w:type="dxa"/>
            <w:tcMar>
              <w:top w:w="8" w:type="dxa"/>
              <w:left w:w="8" w:type="dxa"/>
              <w:bottom w:w="0" w:type="dxa"/>
              <w:right w:w="8" w:type="dxa"/>
            </w:tcMar>
            <w:vAlign w:val="center"/>
          </w:tcPr>
          <w:p>
            <w:pPr>
              <w:ind w:left="53" w:leftChars="25" w:right="53" w:rightChars="25"/>
              <w:rPr>
                <w:rFonts w:ascii="宋体" w:hAnsi="宋体"/>
                <w:spacing w:val="2"/>
                <w:sz w:val="18"/>
                <w:szCs w:val="18"/>
              </w:rPr>
            </w:pPr>
            <w:r>
              <w:rPr>
                <w:rFonts w:hint="eastAsia" w:ascii="宋体" w:hAnsi="宋体"/>
                <w:spacing w:val="2"/>
                <w:sz w:val="18"/>
                <w:szCs w:val="18"/>
              </w:rPr>
              <w:t>辖区内全部机关、事业单位</w:t>
            </w:r>
          </w:p>
        </w:tc>
        <w:tc>
          <w:tcPr>
            <w:tcW w:w="992"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right="53" w:rightChars="25"/>
              <w:rPr>
                <w:rFonts w:ascii="宋体" w:hAnsi="宋体"/>
                <w:color w:val="000000"/>
                <w:sz w:val="18"/>
                <w:szCs w:val="18"/>
              </w:rPr>
            </w:pPr>
            <w:r>
              <w:rPr>
                <w:rFonts w:hint="eastAsia" w:ascii="宋体" w:hAnsi="宋体"/>
                <w:color w:val="000000"/>
                <w:sz w:val="18"/>
                <w:szCs w:val="18"/>
              </w:rPr>
              <w:t>次年2月10日24:00前网上填报或通过其他形式报送</w:t>
            </w:r>
          </w:p>
        </w:tc>
        <w:tc>
          <w:tcPr>
            <w:tcW w:w="1470" w:type="dxa"/>
            <w:tcBorders>
              <w:right w:val="nil"/>
            </w:tcBorders>
            <w:tcMar>
              <w:top w:w="8" w:type="dxa"/>
              <w:left w:w="8" w:type="dxa"/>
              <w:bottom w:w="0" w:type="dxa"/>
              <w:right w:w="8" w:type="dxa"/>
            </w:tcMar>
            <w:vAlign w:val="center"/>
          </w:tcPr>
          <w:p>
            <w:pPr>
              <w:ind w:left="53" w:leftChars="25" w:right="53" w:rightChars="25"/>
              <w:jc w:val="center"/>
              <w:rPr>
                <w:rFonts w:ascii="宋体" w:hAnsi="宋体"/>
                <w:color w:val="000000"/>
                <w:sz w:val="18"/>
                <w:szCs w:val="18"/>
              </w:rPr>
            </w:pPr>
            <w:r>
              <w:rPr>
                <w:rFonts w:hint="eastAsia" w:ascii="宋体" w:hAnsi="宋体"/>
                <w:color w:val="000000"/>
                <w:sz w:val="18"/>
                <w:szCs w:val="18"/>
              </w:rPr>
              <w:t>次年2月</w:t>
            </w:r>
            <w:r>
              <w:rPr>
                <w:rFonts w:ascii="宋体" w:hAnsi="宋体"/>
                <w:color w:val="000000"/>
                <w:sz w:val="18"/>
                <w:szCs w:val="18"/>
              </w:rPr>
              <w:t>15</w:t>
            </w:r>
            <w:r>
              <w:rPr>
                <w:rFonts w:hint="eastAsia" w:ascii="宋体" w:hAnsi="宋体"/>
                <w:color w:val="000000"/>
                <w:sz w:val="18"/>
                <w:szCs w:val="18"/>
              </w:rPr>
              <w:t>日24</w:t>
            </w:r>
            <w:r>
              <w:rPr>
                <w:rFonts w:ascii="宋体" w:hAnsi="宋体"/>
                <w:color w:val="000000"/>
                <w:sz w:val="18"/>
                <w:szCs w:val="18"/>
              </w:rPr>
              <w:t>:</w:t>
            </w:r>
            <w:r>
              <w:rPr>
                <w:rFonts w:hint="eastAsia" w:ascii="宋体" w:hAnsi="宋体"/>
                <w:color w:val="000000"/>
                <w:sz w:val="18"/>
                <w:szCs w:val="18"/>
              </w:rPr>
              <w:t>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9458" w:type="dxa"/>
            <w:gridSpan w:val="7"/>
            <w:tcBorders>
              <w:right w:val="nil"/>
            </w:tcBorders>
            <w:tcMar>
              <w:top w:w="8" w:type="dxa"/>
              <w:left w:w="8" w:type="dxa"/>
              <w:bottom w:w="0" w:type="dxa"/>
              <w:right w:w="8" w:type="dxa"/>
            </w:tcMar>
            <w:vAlign w:val="center"/>
          </w:tcPr>
          <w:p>
            <w:pPr>
              <w:rPr>
                <w:rFonts w:ascii="宋体" w:hAnsi="宋体" w:cs="宋体"/>
                <w:sz w:val="18"/>
                <w:szCs w:val="18"/>
              </w:rPr>
            </w:pPr>
            <w:r>
              <w:rPr>
                <w:rFonts w:hint="eastAsia"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93" w:hRule="atLeast"/>
        </w:trPr>
        <w:tc>
          <w:tcPr>
            <w:tcW w:w="1087"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202-1表</w:t>
            </w:r>
          </w:p>
        </w:tc>
        <w:tc>
          <w:tcPr>
            <w:tcW w:w="1118" w:type="dxa"/>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季报</w:t>
            </w:r>
          </w:p>
        </w:tc>
        <w:tc>
          <w:tcPr>
            <w:tcW w:w="2588" w:type="dxa"/>
            <w:tcMar>
              <w:top w:w="8" w:type="dxa"/>
              <w:left w:w="8" w:type="dxa"/>
              <w:bottom w:w="0" w:type="dxa"/>
              <w:right w:w="8" w:type="dxa"/>
            </w:tcMar>
            <w:vAlign w:val="center"/>
          </w:tcPr>
          <w:p>
            <w:pPr>
              <w:ind w:left="53" w:leftChars="25" w:right="53" w:rightChars="25"/>
              <w:rPr>
                <w:rFonts w:ascii="宋体" w:hAnsi="宋体" w:cs="宋体"/>
                <w:sz w:val="18"/>
                <w:szCs w:val="18"/>
              </w:rPr>
            </w:pPr>
            <w:r>
              <w:rPr>
                <w:rFonts w:hint="eastAsia" w:ascii="宋体" w:hAnsi="宋体"/>
                <w:sz w:val="18"/>
                <w:szCs w:val="18"/>
              </w:rPr>
              <w:t>辖区内规模以上工业、有资质的建筑业、限额以上批发和零售业、限额以上住宿和餐饮业、有开发经营活动的全部房地产开发经营业、规模以上服务业法人单位中抽中的样本法人单位</w:t>
            </w:r>
          </w:p>
        </w:tc>
        <w:tc>
          <w:tcPr>
            <w:tcW w:w="992" w:type="dxa"/>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rPr>
              <w:t>一季度季后8日，二季度季后7日，三季度季后</w:t>
            </w:r>
            <w:bookmarkStart w:id="225" w:name="_GoBack"/>
            <w:r>
              <w:rPr>
                <w:rFonts w:hint="eastAsia" w:ascii="宋体" w:hAnsi="宋体"/>
                <w:sz w:val="18"/>
                <w:szCs w:val="18"/>
              </w:rPr>
              <w:t>1</w:t>
            </w:r>
            <w:r>
              <w:rPr>
                <w:rFonts w:ascii="宋体" w:hAnsi="宋体"/>
                <w:sz w:val="18"/>
                <w:szCs w:val="18"/>
              </w:rPr>
              <w:t>4</w:t>
            </w:r>
            <w:bookmarkEnd w:id="225"/>
            <w:r>
              <w:rPr>
                <w:rFonts w:hint="eastAsia" w:ascii="宋体" w:hAnsi="宋体"/>
                <w:sz w:val="18"/>
                <w:szCs w:val="18"/>
              </w:rPr>
              <w:t>日12</w:t>
            </w:r>
            <w:r>
              <w:rPr>
                <w:rFonts w:ascii="宋体" w:hAnsi="宋体"/>
                <w:sz w:val="18"/>
                <w:szCs w:val="18"/>
              </w:rPr>
              <w:t>:00前网上填报（四季度免报）</w:t>
            </w:r>
          </w:p>
        </w:tc>
        <w:tc>
          <w:tcPr>
            <w:tcW w:w="1470" w:type="dxa"/>
            <w:tcBorders>
              <w:right w:val="nil"/>
            </w:tcBorders>
            <w:tcMar>
              <w:top w:w="8" w:type="dxa"/>
              <w:left w:w="8" w:type="dxa"/>
              <w:bottom w:w="0" w:type="dxa"/>
              <w:right w:w="8" w:type="dxa"/>
            </w:tcMar>
            <w:vAlign w:val="center"/>
          </w:tcPr>
          <w:p>
            <w:pPr>
              <w:ind w:left="53" w:leftChars="25" w:right="53" w:rightChars="25"/>
              <w:rPr>
                <w:rFonts w:ascii="宋体" w:hAnsi="宋体" w:cs="宋体"/>
                <w:sz w:val="18"/>
                <w:szCs w:val="18"/>
              </w:rPr>
            </w:pPr>
            <w:r>
              <w:rPr>
                <w:rFonts w:hint="eastAsia" w:ascii="宋体" w:hAnsi="宋体"/>
                <w:sz w:val="18"/>
                <w:szCs w:val="18"/>
              </w:rPr>
              <w:t>季后</w:t>
            </w:r>
            <w:r>
              <w:rPr>
                <w:rFonts w:ascii="宋体" w:hAnsi="宋体"/>
                <w:sz w:val="18"/>
                <w:szCs w:val="18"/>
              </w:rPr>
              <w:t>19</w:t>
            </w:r>
            <w:r>
              <w:rPr>
                <w:rFonts w:hint="eastAsia" w:ascii="宋体" w:hAnsi="宋体"/>
                <w:sz w:val="18"/>
                <w:szCs w:val="18"/>
              </w:rPr>
              <w:t>日</w:t>
            </w:r>
            <w:r>
              <w:rPr>
                <w:rFonts w:ascii="宋体" w:hAnsi="宋体"/>
                <w:sz w:val="18"/>
                <w:szCs w:val="18"/>
              </w:rPr>
              <w:t>24:00（四季度免报）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93" w:hRule="atLeast"/>
        </w:trPr>
        <w:tc>
          <w:tcPr>
            <w:tcW w:w="1087"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I202-2表</w:t>
            </w:r>
          </w:p>
        </w:tc>
        <w:tc>
          <w:tcPr>
            <w:tcW w:w="1118" w:type="dxa"/>
            <w:tcMar>
              <w:top w:w="8" w:type="dxa"/>
              <w:left w:w="8" w:type="dxa"/>
              <w:bottom w:w="0" w:type="dxa"/>
              <w:right w:w="8" w:type="dxa"/>
            </w:tcMar>
            <w:vAlign w:val="center"/>
          </w:tcPr>
          <w:p>
            <w:pPr>
              <w:ind w:left="53" w:leftChars="25" w:right="53" w:rightChars="25"/>
              <w:jc w:val="center"/>
              <w:rPr>
                <w:rFonts w:ascii="宋体" w:hAnsi="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季报</w:t>
            </w:r>
          </w:p>
        </w:tc>
        <w:tc>
          <w:tcPr>
            <w:tcW w:w="2588" w:type="dxa"/>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p>
        </w:tc>
        <w:tc>
          <w:tcPr>
            <w:tcW w:w="992"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rPr>
              <w:t>季后</w:t>
            </w:r>
            <w:r>
              <w:rPr>
                <w:rFonts w:ascii="宋体" w:hAnsi="宋体"/>
                <w:sz w:val="18"/>
                <w:szCs w:val="18"/>
              </w:rPr>
              <w:t>15</w:t>
            </w:r>
            <w:r>
              <w:rPr>
                <w:rFonts w:hint="eastAsia" w:ascii="宋体" w:hAnsi="宋体"/>
                <w:sz w:val="18"/>
                <w:szCs w:val="18"/>
              </w:rPr>
              <w:t>日12:00前网上填报（四季度免报）</w:t>
            </w:r>
          </w:p>
        </w:tc>
        <w:tc>
          <w:tcPr>
            <w:tcW w:w="1470" w:type="dxa"/>
            <w:tcBorders>
              <w:right w:val="nil"/>
            </w:tcBorders>
            <w:tcMar>
              <w:top w:w="8" w:type="dxa"/>
              <w:left w:w="8" w:type="dxa"/>
              <w:bottom w:w="0" w:type="dxa"/>
              <w:right w:w="8" w:type="dxa"/>
            </w:tcMar>
            <w:vAlign w:val="center"/>
          </w:tcPr>
          <w:p>
            <w:pPr>
              <w:ind w:left="53" w:leftChars="25" w:right="53" w:rightChars="25"/>
              <w:rPr>
                <w:rFonts w:ascii="宋体" w:hAnsi="宋体"/>
                <w:sz w:val="18"/>
                <w:szCs w:val="18"/>
                <w:highlight w:val="none"/>
              </w:rPr>
            </w:pPr>
            <w:r>
              <w:rPr>
                <w:rFonts w:hint="eastAsia" w:ascii="宋体" w:hAnsi="宋体"/>
                <w:sz w:val="18"/>
                <w:szCs w:val="18"/>
                <w:highlight w:val="none"/>
              </w:rPr>
              <w:t>季后</w:t>
            </w:r>
            <w:r>
              <w:rPr>
                <w:rFonts w:ascii="宋体" w:hAnsi="宋体"/>
                <w:sz w:val="18"/>
                <w:szCs w:val="18"/>
              </w:rPr>
              <w:t>19</w:t>
            </w:r>
            <w:r>
              <w:rPr>
                <w:rFonts w:hint="eastAsia" w:ascii="宋体" w:hAnsi="宋体"/>
                <w:sz w:val="18"/>
                <w:szCs w:val="18"/>
                <w:highlight w:val="none"/>
              </w:rPr>
              <w:t>日</w:t>
            </w:r>
            <w:r>
              <w:rPr>
                <w:rFonts w:ascii="宋体" w:hAnsi="宋体"/>
                <w:sz w:val="18"/>
                <w:szCs w:val="18"/>
              </w:rPr>
              <w:t>24</w:t>
            </w:r>
            <w:r>
              <w:rPr>
                <w:rFonts w:ascii="宋体" w:hAnsi="宋体"/>
                <w:sz w:val="18"/>
                <w:szCs w:val="18"/>
                <w:highlight w:val="none"/>
              </w:rPr>
              <w:t>:00（四季度免报）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593" w:hRule="atLeast"/>
        </w:trPr>
        <w:tc>
          <w:tcPr>
            <w:tcW w:w="1087"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I202-3表</w:t>
            </w:r>
          </w:p>
        </w:tc>
        <w:tc>
          <w:tcPr>
            <w:tcW w:w="1118" w:type="dxa"/>
            <w:tcMar>
              <w:top w:w="8" w:type="dxa"/>
              <w:left w:w="8" w:type="dxa"/>
              <w:bottom w:w="0" w:type="dxa"/>
              <w:right w:w="8" w:type="dxa"/>
            </w:tcMar>
            <w:vAlign w:val="center"/>
          </w:tcPr>
          <w:p>
            <w:pPr>
              <w:ind w:left="53" w:leftChars="25" w:right="53" w:rightChars="25"/>
              <w:jc w:val="center"/>
              <w:rPr>
                <w:rFonts w:ascii="宋体" w:hAnsi="宋体"/>
                <w:sz w:val="18"/>
                <w:szCs w:val="18"/>
              </w:rPr>
            </w:pPr>
            <w:r>
              <w:rPr>
                <w:rFonts w:hint="eastAsia" w:ascii="宋体" w:hAnsi="宋体"/>
                <w:sz w:val="18"/>
                <w:szCs w:val="18"/>
              </w:rPr>
              <w:t>从业人员及工资总额</w:t>
            </w:r>
          </w:p>
        </w:tc>
        <w:tc>
          <w:tcPr>
            <w:tcW w:w="540"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季报</w:t>
            </w:r>
          </w:p>
        </w:tc>
        <w:tc>
          <w:tcPr>
            <w:tcW w:w="2588" w:type="dxa"/>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pacing w:val="2"/>
                <w:sz w:val="18"/>
                <w:szCs w:val="18"/>
              </w:rPr>
              <w:t>辖区内全部机关、事业单位</w:t>
            </w:r>
          </w:p>
        </w:tc>
        <w:tc>
          <w:tcPr>
            <w:tcW w:w="992" w:type="dxa"/>
            <w:tcMar>
              <w:top w:w="8" w:type="dxa"/>
              <w:left w:w="8" w:type="dxa"/>
              <w:bottom w:w="0" w:type="dxa"/>
              <w:right w:w="8" w:type="dxa"/>
            </w:tcMar>
            <w:vAlign w:val="center"/>
          </w:tcPr>
          <w:p>
            <w:pPr>
              <w:jc w:val="center"/>
              <w:rPr>
                <w:rFonts w:ascii="宋体" w:hAnsi="宋体"/>
                <w:sz w:val="18"/>
                <w:szCs w:val="18"/>
              </w:rPr>
            </w:pPr>
            <w:r>
              <w:rPr>
                <w:rFonts w:hint="eastAsia" w:ascii="宋体" w:hAnsi="宋体"/>
                <w:sz w:val="18"/>
                <w:szCs w:val="18"/>
              </w:rPr>
              <w:t>法人单位</w:t>
            </w:r>
          </w:p>
        </w:tc>
        <w:tc>
          <w:tcPr>
            <w:tcW w:w="1663" w:type="dxa"/>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highlight w:val="none"/>
              </w:rPr>
              <w:t>一季度季后</w:t>
            </w:r>
            <w:r>
              <w:rPr>
                <w:rFonts w:hint="eastAsia" w:ascii="宋体" w:hAnsi="宋体"/>
                <w:sz w:val="18"/>
                <w:szCs w:val="18"/>
              </w:rPr>
              <w:t>4</w:t>
            </w:r>
            <w:r>
              <w:rPr>
                <w:rFonts w:hint="eastAsia" w:ascii="宋体" w:hAnsi="宋体"/>
                <w:sz w:val="18"/>
                <w:szCs w:val="18"/>
                <w:highlight w:val="none"/>
              </w:rPr>
              <w:t>日，二季度季后</w:t>
            </w:r>
            <w:r>
              <w:rPr>
                <w:rFonts w:hint="eastAsia" w:ascii="宋体" w:hAnsi="宋体"/>
                <w:sz w:val="18"/>
                <w:szCs w:val="18"/>
              </w:rPr>
              <w:t>4</w:t>
            </w:r>
            <w:r>
              <w:rPr>
                <w:rFonts w:hint="eastAsia" w:ascii="宋体" w:hAnsi="宋体"/>
                <w:sz w:val="18"/>
                <w:szCs w:val="18"/>
                <w:highlight w:val="none"/>
              </w:rPr>
              <w:t>日，三季度季后</w:t>
            </w:r>
            <w:r>
              <w:rPr>
                <w:rFonts w:hint="eastAsia" w:ascii="宋体" w:hAnsi="宋体"/>
                <w:sz w:val="18"/>
                <w:szCs w:val="18"/>
              </w:rPr>
              <w:t>10</w:t>
            </w:r>
            <w:r>
              <w:rPr>
                <w:rFonts w:hint="eastAsia" w:ascii="宋体" w:hAnsi="宋体"/>
                <w:sz w:val="18"/>
                <w:szCs w:val="18"/>
                <w:highlight w:val="none"/>
              </w:rPr>
              <w:t>日，四季度次年</w:t>
            </w:r>
            <w:r>
              <w:rPr>
                <w:rFonts w:ascii="宋体" w:hAnsi="宋体"/>
                <w:sz w:val="18"/>
                <w:szCs w:val="18"/>
                <w:highlight w:val="none"/>
              </w:rPr>
              <w:t>1月5日12:00前网上填报</w:t>
            </w:r>
          </w:p>
        </w:tc>
        <w:tc>
          <w:tcPr>
            <w:tcW w:w="1470" w:type="dxa"/>
            <w:tcBorders>
              <w:right w:val="nil"/>
            </w:tcBorders>
            <w:tcMar>
              <w:top w:w="8" w:type="dxa"/>
              <w:left w:w="8" w:type="dxa"/>
              <w:bottom w:w="0" w:type="dxa"/>
              <w:right w:w="8" w:type="dxa"/>
            </w:tcMar>
            <w:vAlign w:val="center"/>
          </w:tcPr>
          <w:p>
            <w:pPr>
              <w:ind w:left="53" w:leftChars="25" w:right="53" w:rightChars="25"/>
              <w:rPr>
                <w:rFonts w:ascii="宋体" w:hAnsi="宋体"/>
                <w:sz w:val="18"/>
                <w:szCs w:val="18"/>
                <w:highlight w:val="none"/>
              </w:rPr>
            </w:pPr>
            <w:r>
              <w:rPr>
                <w:rFonts w:hint="eastAsia" w:ascii="宋体" w:hAnsi="宋体"/>
                <w:sz w:val="18"/>
                <w:szCs w:val="18"/>
                <w:highlight w:val="none"/>
              </w:rPr>
              <w:t>一季度季后</w:t>
            </w:r>
            <w:r>
              <w:rPr>
                <w:rFonts w:ascii="宋体" w:hAnsi="宋体"/>
                <w:sz w:val="18"/>
                <w:szCs w:val="18"/>
              </w:rPr>
              <w:t>7</w:t>
            </w:r>
            <w:r>
              <w:rPr>
                <w:rFonts w:hint="eastAsia" w:ascii="宋体" w:hAnsi="宋体"/>
                <w:sz w:val="18"/>
                <w:szCs w:val="18"/>
                <w:highlight w:val="none"/>
              </w:rPr>
              <w:t>日，二季度季后</w:t>
            </w:r>
            <w:r>
              <w:rPr>
                <w:rFonts w:ascii="宋体" w:hAnsi="宋体"/>
                <w:sz w:val="18"/>
                <w:szCs w:val="18"/>
              </w:rPr>
              <w:t>6</w:t>
            </w:r>
            <w:r>
              <w:rPr>
                <w:rFonts w:hint="eastAsia" w:ascii="宋体" w:hAnsi="宋体"/>
                <w:sz w:val="18"/>
                <w:szCs w:val="18"/>
                <w:highlight w:val="none"/>
              </w:rPr>
              <w:t>日，三季度季后</w:t>
            </w:r>
            <w:r>
              <w:rPr>
                <w:rFonts w:ascii="宋体" w:hAnsi="宋体"/>
                <w:sz w:val="18"/>
                <w:szCs w:val="18"/>
                <w:lang w:val="en"/>
              </w:rPr>
              <w:t>12</w:t>
            </w:r>
            <w:r>
              <w:rPr>
                <w:rFonts w:hint="eastAsia" w:ascii="宋体" w:hAnsi="宋体"/>
                <w:sz w:val="18"/>
                <w:szCs w:val="18"/>
                <w:highlight w:val="none"/>
              </w:rPr>
              <w:t>日</w:t>
            </w:r>
            <w:r>
              <w:rPr>
                <w:rFonts w:hint="eastAsia" w:ascii="宋体" w:hAnsi="宋体"/>
                <w:sz w:val="18"/>
                <w:szCs w:val="18"/>
                <w:highlight w:val="none"/>
              </w:rPr>
              <w:t>，</w:t>
            </w:r>
          </w:p>
          <w:p>
            <w:pPr>
              <w:ind w:left="53" w:leftChars="25" w:right="53" w:rightChars="25"/>
              <w:rPr>
                <w:rFonts w:ascii="宋体" w:hAnsi="宋体"/>
                <w:sz w:val="18"/>
                <w:szCs w:val="18"/>
              </w:rPr>
            </w:pPr>
            <w:r>
              <w:rPr>
                <w:rFonts w:hint="eastAsia" w:ascii="宋体" w:hAnsi="宋体"/>
                <w:sz w:val="18"/>
                <w:szCs w:val="18"/>
                <w:highlight w:val="none"/>
              </w:rPr>
              <w:t>四季度次年</w:t>
            </w:r>
            <w:r>
              <w:rPr>
                <w:rFonts w:ascii="宋体" w:hAnsi="宋体"/>
                <w:sz w:val="18"/>
                <w:szCs w:val="18"/>
                <w:highlight w:val="none"/>
              </w:rPr>
              <w:t>1</w:t>
            </w:r>
            <w:r>
              <w:rPr>
                <w:rFonts w:hint="eastAsia" w:ascii="宋体" w:hAnsi="宋体"/>
                <w:sz w:val="18"/>
                <w:szCs w:val="18"/>
                <w:highlight w:val="none"/>
              </w:rPr>
              <w:t>月</w:t>
            </w:r>
            <w:r>
              <w:rPr>
                <w:rFonts w:ascii="宋体" w:hAnsi="宋体"/>
                <w:sz w:val="18"/>
                <w:szCs w:val="18"/>
              </w:rPr>
              <w:t>7</w:t>
            </w:r>
            <w:r>
              <w:rPr>
                <w:rFonts w:hint="eastAsia" w:ascii="宋体" w:hAnsi="宋体"/>
                <w:sz w:val="18"/>
                <w:szCs w:val="18"/>
                <w:highlight w:val="none"/>
              </w:rPr>
              <w:t>日</w:t>
            </w:r>
            <w:r>
              <w:rPr>
                <w:rFonts w:hint="eastAsia" w:ascii="宋体" w:hAnsi="宋体"/>
                <w:sz w:val="18"/>
                <w:szCs w:val="18"/>
              </w:rPr>
              <w:t>24</w:t>
            </w:r>
            <w:r>
              <w:rPr>
                <w:rFonts w:ascii="宋体" w:hAnsi="宋体"/>
                <w:sz w:val="18"/>
                <w:szCs w:val="18"/>
                <w:highlight w:val="none"/>
              </w:rPr>
              <w:t>:00</w:t>
            </w:r>
          </w:p>
        </w:tc>
      </w:tr>
    </w:tbl>
    <w:p>
      <w:pPr>
        <w:rPr>
          <w:rFonts w:ascii="宋体"/>
          <w:b/>
        </w:rPr>
      </w:pPr>
    </w:p>
    <w:p>
      <w:pPr>
        <w:spacing w:before="240" w:beforeLines="100" w:after="240" w:afterLines="100"/>
        <w:jc w:val="center"/>
        <w:outlineLvl w:val="0"/>
        <w:rPr>
          <w:rFonts w:ascii="黑体" w:eastAsia="黑体"/>
          <w:sz w:val="32"/>
        </w:rPr>
      </w:pPr>
      <w:r>
        <w:rPr>
          <w:rFonts w:ascii="宋体"/>
          <w:b/>
        </w:rPr>
        <w:br w:type="page"/>
      </w:r>
      <w:bookmarkStart w:id="46" w:name="_Toc560709958"/>
      <w:bookmarkStart w:id="47" w:name="_Toc800001657"/>
      <w:bookmarkStart w:id="48" w:name="_Toc1036742803"/>
      <w:bookmarkStart w:id="49" w:name="_Toc1541487486"/>
      <w:bookmarkStart w:id="50" w:name="_Toc1665549147"/>
      <w:bookmarkStart w:id="51" w:name="_Toc2084544916"/>
      <w:bookmarkStart w:id="52" w:name="_Toc1185322248"/>
      <w:bookmarkStart w:id="53" w:name="_Toc819001149"/>
      <w:r>
        <w:rPr>
          <w:rFonts w:hint="eastAsia" w:ascii="黑体" w:eastAsia="黑体"/>
          <w:sz w:val="32"/>
        </w:rPr>
        <w:t>三、调 查 表 式</w:t>
      </w:r>
      <w:bookmarkEnd w:id="46"/>
      <w:bookmarkEnd w:id="47"/>
      <w:bookmarkEnd w:id="48"/>
      <w:bookmarkEnd w:id="49"/>
      <w:bookmarkEnd w:id="50"/>
      <w:bookmarkEnd w:id="51"/>
    </w:p>
    <w:p>
      <w:pPr>
        <w:snapToGrid w:val="0"/>
        <w:spacing w:before="120" w:beforeLines="50" w:after="120" w:afterLines="50"/>
        <w:jc w:val="center"/>
        <w:outlineLvl w:val="1"/>
        <w:rPr>
          <w:rFonts w:ascii="黑体" w:eastAsia="黑体"/>
          <w:sz w:val="28"/>
          <w:szCs w:val="28"/>
        </w:rPr>
      </w:pPr>
      <w:bookmarkStart w:id="54" w:name="_Toc209786360"/>
      <w:bookmarkStart w:id="55" w:name="_Toc10604552"/>
      <w:bookmarkStart w:id="56" w:name="_Toc231297006"/>
      <w:bookmarkStart w:id="57" w:name="_Toc1435382635"/>
      <w:bookmarkStart w:id="58" w:name="_Toc1161517645"/>
      <w:bookmarkStart w:id="59" w:name="_Toc347515338"/>
      <w:r>
        <w:rPr>
          <w:rFonts w:hint="eastAsia" w:ascii="黑体" w:eastAsia="黑体"/>
          <w:sz w:val="28"/>
          <w:szCs w:val="28"/>
        </w:rPr>
        <w:t>（一）基层年报表式</w:t>
      </w:r>
      <w:bookmarkEnd w:id="54"/>
      <w:bookmarkEnd w:id="55"/>
      <w:bookmarkEnd w:id="56"/>
      <w:bookmarkEnd w:id="57"/>
      <w:bookmarkEnd w:id="58"/>
      <w:bookmarkEnd w:id="59"/>
    </w:p>
    <w:p>
      <w:pPr>
        <w:jc w:val="center"/>
        <w:outlineLvl w:val="2"/>
        <w:rPr>
          <w:rFonts w:ascii="宋体" w:hAnsi="宋体" w:cs="宋体"/>
          <w:sz w:val="32"/>
          <w:szCs w:val="32"/>
        </w:rPr>
      </w:pPr>
      <w:bookmarkStart w:id="60" w:name="_Toc2051593674"/>
      <w:bookmarkStart w:id="61" w:name="_Toc1200905658"/>
      <w:bookmarkStart w:id="62" w:name="_Toc1457471854"/>
      <w:r>
        <w:rPr>
          <w:rFonts w:ascii="Nimbus Roman No9 L" w:hAnsi="Nimbus Roman No9 L" w:cs="Nimbus Roman No9 L"/>
          <w:sz w:val="32"/>
          <w:szCs w:val="32"/>
        </w:rPr>
        <w:t>从业人员及工资总额</w:t>
      </w:r>
      <w:bookmarkEnd w:id="60"/>
      <w:bookmarkEnd w:id="61"/>
      <w:bookmarkEnd w:id="62"/>
    </w:p>
    <w:tbl>
      <w:tblPr>
        <w:tblStyle w:val="20"/>
        <w:tblW w:w="9411" w:type="dxa"/>
        <w:jc w:val="center"/>
        <w:tblLayout w:type="autofit"/>
        <w:tblCellMar>
          <w:top w:w="0" w:type="dxa"/>
          <w:left w:w="108" w:type="dxa"/>
          <w:bottom w:w="0" w:type="dxa"/>
          <w:right w:w="108" w:type="dxa"/>
        </w:tblCellMar>
      </w:tblPr>
      <w:tblGrid>
        <w:gridCol w:w="6247"/>
        <w:gridCol w:w="1127"/>
        <w:gridCol w:w="2037"/>
      </w:tblGrid>
      <w:tr>
        <w:tblPrEx>
          <w:tblCellMar>
            <w:top w:w="0" w:type="dxa"/>
            <w:left w:w="108" w:type="dxa"/>
            <w:bottom w:w="0" w:type="dxa"/>
            <w:right w:w="108" w:type="dxa"/>
          </w:tblCellMar>
        </w:tblPrEx>
        <w:trPr>
          <w:trHeight w:val="255" w:hRule="exact"/>
          <w:jc w:val="center"/>
        </w:trPr>
        <w:tc>
          <w:tcPr>
            <w:tcW w:w="6247" w:type="dxa"/>
            <w:tcMar>
              <w:left w:w="0" w:type="dxa"/>
              <w:right w:w="0" w:type="dxa"/>
            </w:tcMar>
          </w:tcPr>
          <w:p>
            <w:pPr>
              <w:spacing w:line="240" w:lineRule="exact"/>
              <w:jc w:val="center"/>
              <w:rPr>
                <w:rFonts w:ascii="宋体" w:hAnsi="宋体" w:cs="宋体"/>
                <w:sz w:val="32"/>
                <w:szCs w:val="32"/>
              </w:rPr>
            </w:pPr>
          </w:p>
        </w:tc>
        <w:tc>
          <w:tcPr>
            <w:tcW w:w="1127" w:type="dxa"/>
            <w:vAlign w:val="bottom"/>
          </w:tcPr>
          <w:p>
            <w:pPr>
              <w:spacing w:line="240" w:lineRule="exact"/>
              <w:ind w:right="-252" w:rightChars="-120"/>
              <w:jc w:val="center"/>
              <w:rPr>
                <w:rFonts w:ascii="宋体" w:hAnsi="宋体" w:cs="宋体"/>
                <w:sz w:val="32"/>
                <w:szCs w:val="32"/>
              </w:rPr>
            </w:pPr>
            <w:r>
              <w:rPr>
                <w:rFonts w:hint="eastAsia" w:ascii="宋体" w:hAnsi="宋体" w:cs="宋体"/>
                <w:sz w:val="18"/>
                <w:szCs w:val="18"/>
              </w:rPr>
              <w:t>表    号：</w:t>
            </w:r>
          </w:p>
        </w:tc>
        <w:tc>
          <w:tcPr>
            <w:tcW w:w="2037" w:type="dxa"/>
            <w:vAlign w:val="center"/>
          </w:tcPr>
          <w:p>
            <w:pPr>
              <w:spacing w:line="240" w:lineRule="exact"/>
              <w:ind w:left="-84" w:leftChars="-40" w:right="-84" w:rightChars="-40"/>
              <w:jc w:val="distribute"/>
              <w:rPr>
                <w:rFonts w:ascii="宋体" w:hAnsi="宋体" w:cs="宋体"/>
                <w:sz w:val="18"/>
                <w:szCs w:val="18"/>
              </w:rPr>
            </w:pPr>
            <w:r>
              <w:rPr>
                <w:rFonts w:hint="eastAsia" w:ascii="宋体" w:hAnsi="宋体" w:cs="宋体"/>
                <w:sz w:val="18"/>
                <w:szCs w:val="18"/>
              </w:rPr>
              <w:t>102-1表</w:t>
            </w:r>
          </w:p>
        </w:tc>
      </w:tr>
      <w:tr>
        <w:tblPrEx>
          <w:tblCellMar>
            <w:top w:w="0" w:type="dxa"/>
            <w:left w:w="108" w:type="dxa"/>
            <w:bottom w:w="0" w:type="dxa"/>
            <w:right w:w="108" w:type="dxa"/>
          </w:tblCellMar>
        </w:tblPrEx>
        <w:trPr>
          <w:trHeight w:val="295" w:hRule="atLeast"/>
          <w:jc w:val="center"/>
        </w:trPr>
        <w:tc>
          <w:tcPr>
            <w:tcW w:w="6247" w:type="dxa"/>
            <w:tcMar>
              <w:left w:w="0" w:type="dxa"/>
              <w:right w:w="0" w:type="dxa"/>
            </w:tcMar>
            <w:vAlign w:val="bottom"/>
          </w:tcPr>
          <w:p>
            <w:pPr>
              <w:spacing w:line="240" w:lineRule="exact"/>
              <w:rPr>
                <w:rFonts w:ascii="宋体" w:hAnsi="宋体" w:cs="宋体"/>
                <w:sz w:val="32"/>
                <w:szCs w:val="32"/>
              </w:rPr>
            </w:pPr>
          </w:p>
        </w:tc>
        <w:tc>
          <w:tcPr>
            <w:tcW w:w="1127" w:type="dxa"/>
          </w:tcPr>
          <w:p>
            <w:pPr>
              <w:spacing w:line="240" w:lineRule="exact"/>
              <w:ind w:right="-252" w:rightChars="-120"/>
              <w:jc w:val="center"/>
              <w:rPr>
                <w:rFonts w:ascii="宋体" w:hAnsi="宋体" w:cs="宋体"/>
                <w:sz w:val="32"/>
                <w:szCs w:val="32"/>
              </w:rPr>
            </w:pPr>
            <w:r>
              <w:rPr>
                <w:rFonts w:hint="eastAsia" w:ascii="宋体" w:hAnsi="宋体" w:cs="宋体"/>
                <w:sz w:val="18"/>
                <w:szCs w:val="18"/>
              </w:rPr>
              <w:t>制定机关：</w:t>
            </w:r>
          </w:p>
        </w:tc>
        <w:tc>
          <w:tcPr>
            <w:tcW w:w="2037" w:type="dxa"/>
            <w:vAlign w:val="center"/>
          </w:tcPr>
          <w:p>
            <w:pPr>
              <w:spacing w:line="200" w:lineRule="exact"/>
              <w:ind w:left="-84" w:leftChars="-40" w:right="-84" w:rightChars="-40"/>
              <w:jc w:val="distribute"/>
              <w:rPr>
                <w:rFonts w:ascii="宋体" w:hAnsi="宋体" w:cs="宋体"/>
                <w:sz w:val="18"/>
                <w:szCs w:val="18"/>
              </w:rPr>
            </w:pPr>
            <w:r>
              <w:rPr>
                <w:rFonts w:hint="eastAsia" w:ascii="宋体" w:hAnsi="宋体"/>
                <w:color w:val="000000"/>
                <w:sz w:val="18"/>
                <w:szCs w:val="18"/>
              </w:rPr>
              <w:t>国家统计局</w:t>
            </w:r>
          </w:p>
        </w:tc>
      </w:tr>
      <w:tr>
        <w:tblPrEx>
          <w:tblCellMar>
            <w:top w:w="0" w:type="dxa"/>
            <w:left w:w="108" w:type="dxa"/>
            <w:bottom w:w="0" w:type="dxa"/>
            <w:right w:w="108" w:type="dxa"/>
          </w:tblCellMar>
        </w:tblPrEx>
        <w:trPr>
          <w:trHeight w:val="255" w:hRule="exact"/>
          <w:jc w:val="center"/>
        </w:trPr>
        <w:tc>
          <w:tcPr>
            <w:tcW w:w="6247" w:type="dxa"/>
            <w:tcMar>
              <w:left w:w="0" w:type="dxa"/>
              <w:right w:w="0" w:type="dxa"/>
            </w:tcMar>
            <w:vAlign w:val="bottom"/>
          </w:tcPr>
          <w:p>
            <w:pPr>
              <w:spacing w:line="240" w:lineRule="exact"/>
              <w:rPr>
                <w:rFonts w:ascii="宋体" w:hAnsi="宋体" w:cs="宋体"/>
                <w:sz w:val="32"/>
                <w:szCs w:val="32"/>
              </w:rPr>
            </w:pPr>
            <w:r>
              <w:rPr>
                <w:rFonts w:hint="eastAsia" w:ascii="宋体" w:hAnsi="宋体" w:cs="宋体"/>
                <w:sz w:val="18"/>
                <w:szCs w:val="18"/>
              </w:rPr>
              <w:t>统一社会信用代码□□□□□□□□□□□□□□□□□□</w:t>
            </w:r>
          </w:p>
        </w:tc>
        <w:tc>
          <w:tcPr>
            <w:tcW w:w="1127" w:type="dxa"/>
            <w:vAlign w:val="center"/>
          </w:tcPr>
          <w:p>
            <w:pPr>
              <w:spacing w:line="240" w:lineRule="exact"/>
              <w:ind w:right="-252" w:rightChars="-120"/>
              <w:jc w:val="center"/>
              <w:rPr>
                <w:rFonts w:ascii="宋体" w:hAnsi="宋体" w:cs="宋体"/>
                <w:sz w:val="32"/>
                <w:szCs w:val="32"/>
              </w:rPr>
            </w:pPr>
            <w:r>
              <w:rPr>
                <w:rFonts w:hint="eastAsia" w:ascii="宋体" w:hAnsi="宋体" w:cs="宋体"/>
                <w:sz w:val="18"/>
                <w:szCs w:val="18"/>
              </w:rPr>
              <w:t>文    号：</w:t>
            </w:r>
          </w:p>
        </w:tc>
        <w:tc>
          <w:tcPr>
            <w:tcW w:w="2037" w:type="dxa"/>
            <w:vAlign w:val="center"/>
          </w:tcPr>
          <w:p>
            <w:pPr>
              <w:ind w:left="-84" w:leftChars="-40" w:right="-84" w:rightChars="-40"/>
              <w:jc w:val="distribute"/>
              <w:rPr>
                <w:rFonts w:ascii="宋体" w:hAnsi="宋体" w:cs="宋体"/>
                <w:sz w:val="32"/>
                <w:szCs w:val="32"/>
              </w:rPr>
            </w:pPr>
            <w:r>
              <w:rPr>
                <w:rFonts w:hint="eastAsia" w:ascii="宋体" w:hAnsi="宋体" w:cs="宋体"/>
                <w:sz w:val="18"/>
                <w:szCs w:val="18"/>
              </w:rPr>
              <w:t>国统字〔2024〕77号</w:t>
            </w:r>
          </w:p>
        </w:tc>
      </w:tr>
      <w:tr>
        <w:tblPrEx>
          <w:tblCellMar>
            <w:top w:w="0" w:type="dxa"/>
            <w:left w:w="108" w:type="dxa"/>
            <w:bottom w:w="0" w:type="dxa"/>
            <w:right w:w="108" w:type="dxa"/>
          </w:tblCellMar>
        </w:tblPrEx>
        <w:trPr>
          <w:trHeight w:val="255" w:hRule="exact"/>
          <w:jc w:val="center"/>
        </w:trPr>
        <w:tc>
          <w:tcPr>
            <w:tcW w:w="6247" w:type="dxa"/>
            <w:tcMar>
              <w:left w:w="0" w:type="dxa"/>
              <w:right w:w="0" w:type="dxa"/>
            </w:tcMar>
            <w:vAlign w:val="bottom"/>
          </w:tcPr>
          <w:p>
            <w:pPr>
              <w:spacing w:line="240" w:lineRule="exact"/>
              <w:rPr>
                <w:rFonts w:ascii="宋体" w:hAnsi="宋体" w:cs="宋体"/>
                <w:sz w:val="32"/>
                <w:szCs w:val="32"/>
              </w:rPr>
            </w:pPr>
            <w:r>
              <w:rPr>
                <w:rFonts w:hint="eastAsia" w:ascii="宋体" w:hAnsi="宋体" w:cs="宋体"/>
                <w:sz w:val="18"/>
                <w:szCs w:val="18"/>
              </w:rPr>
              <w:t xml:space="preserve">单位详细名称：　　　　　　　　　　　　　　　　　 </w:t>
            </w:r>
            <w:r>
              <w:rPr>
                <w:rFonts w:hint="eastAsia" w:ascii="宋体" w:hAnsi="宋体" w:cs="宋体"/>
                <w:spacing w:val="90"/>
                <w:kern w:val="0"/>
                <w:sz w:val="18"/>
                <w:szCs w:val="18"/>
                <w:fitText w:val="450" w:id="-142642299"/>
              </w:rPr>
              <w:t>20</w:t>
            </w:r>
            <w:r>
              <w:rPr>
                <w:rFonts w:hint="eastAsia" w:ascii="宋体" w:hAnsi="宋体" w:cs="宋体"/>
                <w:spacing w:val="0"/>
                <w:kern w:val="0"/>
                <w:sz w:val="18"/>
                <w:szCs w:val="18"/>
                <w:fitText w:val="450" w:id="-142642299"/>
              </w:rPr>
              <w:t xml:space="preserve"> </w:t>
            </w:r>
            <w:r>
              <w:rPr>
                <w:rFonts w:hint="eastAsia" w:ascii="宋体" w:hAnsi="宋体" w:cs="宋体"/>
                <w:kern w:val="0"/>
                <w:sz w:val="18"/>
                <w:szCs w:val="18"/>
              </w:rPr>
              <w:t xml:space="preserve"> </w:t>
            </w:r>
            <w:r>
              <w:rPr>
                <w:rFonts w:hint="eastAsia" w:ascii="宋体" w:hAnsi="宋体" w:cs="宋体"/>
                <w:sz w:val="18"/>
                <w:szCs w:val="18"/>
              </w:rPr>
              <w:t>年</w:t>
            </w:r>
          </w:p>
        </w:tc>
        <w:tc>
          <w:tcPr>
            <w:tcW w:w="1127" w:type="dxa"/>
            <w:vAlign w:val="center"/>
          </w:tcPr>
          <w:p>
            <w:pPr>
              <w:spacing w:line="240" w:lineRule="exact"/>
              <w:ind w:right="-252" w:rightChars="-120"/>
              <w:jc w:val="center"/>
              <w:rPr>
                <w:rFonts w:ascii="宋体" w:hAnsi="宋体" w:cs="宋体"/>
                <w:sz w:val="32"/>
                <w:szCs w:val="32"/>
              </w:rPr>
            </w:pPr>
            <w:r>
              <w:rPr>
                <w:rFonts w:hint="eastAsia" w:ascii="宋体" w:hAnsi="宋体" w:cs="宋体"/>
                <w:sz w:val="18"/>
                <w:szCs w:val="18"/>
              </w:rPr>
              <w:t>有效期至：</w:t>
            </w:r>
          </w:p>
        </w:tc>
        <w:tc>
          <w:tcPr>
            <w:tcW w:w="2037" w:type="dxa"/>
            <w:vAlign w:val="center"/>
          </w:tcPr>
          <w:p>
            <w:pPr>
              <w:ind w:left="-84" w:leftChars="-40" w:right="-84" w:rightChars="-40"/>
              <w:jc w:val="distribute"/>
              <w:rPr>
                <w:rFonts w:ascii="宋体" w:hAnsi="宋体" w:cs="宋体"/>
                <w:sz w:val="32"/>
                <w:szCs w:val="32"/>
              </w:rPr>
            </w:pPr>
            <w:r>
              <w:rPr>
                <w:rFonts w:hint="eastAsia" w:ascii="宋体" w:hAnsi="宋体" w:cs="宋体"/>
                <w:sz w:val="18"/>
                <w:szCs w:val="18"/>
              </w:rPr>
              <w:t>2025年6月</w:t>
            </w:r>
          </w:p>
        </w:tc>
      </w:tr>
    </w:tbl>
    <w:p>
      <w:pPr>
        <w:spacing w:line="14" w:lineRule="exact"/>
        <w:rPr>
          <w:rFonts w:ascii="宋体" w:hAnsi="宋体" w:cs="宋体"/>
          <w:sz w:val="18"/>
          <w:szCs w:val="18"/>
        </w:rPr>
      </w:pPr>
    </w:p>
    <w:tbl>
      <w:tblPr>
        <w:tblStyle w:val="20"/>
        <w:tblW w:w="9411" w:type="dxa"/>
        <w:jc w:val="center"/>
        <w:tblLayout w:type="fixed"/>
        <w:tblCellMar>
          <w:top w:w="0" w:type="dxa"/>
          <w:left w:w="108" w:type="dxa"/>
          <w:bottom w:w="0" w:type="dxa"/>
          <w:right w:w="108" w:type="dxa"/>
        </w:tblCellMar>
      </w:tblPr>
      <w:tblGrid>
        <w:gridCol w:w="3093"/>
        <w:gridCol w:w="622"/>
        <w:gridCol w:w="502"/>
        <w:gridCol w:w="532"/>
        <w:gridCol w:w="3025"/>
        <w:gridCol w:w="634"/>
        <w:gridCol w:w="536"/>
        <w:gridCol w:w="467"/>
      </w:tblGrid>
      <w:tr>
        <w:tblPrEx>
          <w:tblCellMar>
            <w:top w:w="0" w:type="dxa"/>
            <w:left w:w="108" w:type="dxa"/>
            <w:bottom w:w="0" w:type="dxa"/>
            <w:right w:w="108" w:type="dxa"/>
          </w:tblCellMar>
        </w:tblPrEx>
        <w:trPr>
          <w:trHeight w:val="680" w:hRule="atLeast"/>
          <w:jc w:val="center"/>
        </w:trPr>
        <w:tc>
          <w:tcPr>
            <w:tcW w:w="1642" w:type="pct"/>
            <w:tcBorders>
              <w:top w:val="single" w:color="auto" w:sz="8" w:space="0"/>
              <w:left w:val="nil"/>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指标名称</w:t>
            </w:r>
          </w:p>
        </w:tc>
        <w:tc>
          <w:tcPr>
            <w:tcW w:w="330"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计量单位</w:t>
            </w:r>
          </w:p>
        </w:tc>
        <w:tc>
          <w:tcPr>
            <w:tcW w:w="266"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代码</w:t>
            </w:r>
          </w:p>
        </w:tc>
        <w:tc>
          <w:tcPr>
            <w:tcW w:w="282"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本年</w:t>
            </w:r>
          </w:p>
        </w:tc>
        <w:tc>
          <w:tcPr>
            <w:tcW w:w="1606" w:type="pct"/>
            <w:tcBorders>
              <w:top w:val="single" w:color="auto" w:sz="8" w:space="0"/>
              <w:left w:val="double" w:color="auto" w:sz="4"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指标名称</w:t>
            </w:r>
          </w:p>
        </w:tc>
        <w:tc>
          <w:tcPr>
            <w:tcW w:w="337"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计量单位</w:t>
            </w:r>
          </w:p>
        </w:tc>
        <w:tc>
          <w:tcPr>
            <w:tcW w:w="285"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代码</w:t>
            </w:r>
          </w:p>
        </w:tc>
        <w:tc>
          <w:tcPr>
            <w:tcW w:w="248" w:type="pct"/>
            <w:tcBorders>
              <w:top w:val="single" w:color="auto" w:sz="8" w:space="0"/>
              <w:left w:val="single" w:color="auto" w:sz="2" w:space="0"/>
              <w:bottom w:val="single" w:color="auto" w:sz="2" w:space="0"/>
              <w:right w:val="nil"/>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本年</w:t>
            </w:r>
          </w:p>
        </w:tc>
      </w:tr>
      <w:tr>
        <w:tblPrEx>
          <w:tblCellMar>
            <w:top w:w="0" w:type="dxa"/>
            <w:left w:w="108" w:type="dxa"/>
            <w:bottom w:w="0" w:type="dxa"/>
            <w:right w:w="108" w:type="dxa"/>
          </w:tblCellMar>
        </w:tblPrEx>
        <w:trPr>
          <w:trHeight w:val="312" w:hRule="atLeast"/>
          <w:jc w:val="center"/>
        </w:trPr>
        <w:tc>
          <w:tcPr>
            <w:tcW w:w="3092" w:type="dxa"/>
            <w:tcBorders>
              <w:top w:val="single" w:color="auto" w:sz="2" w:space="0"/>
              <w:left w:val="nil"/>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甲</w:t>
            </w:r>
          </w:p>
        </w:tc>
        <w:tc>
          <w:tcPr>
            <w:tcW w:w="622"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乙</w:t>
            </w:r>
          </w:p>
        </w:tc>
        <w:tc>
          <w:tcPr>
            <w:tcW w:w="502"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丙</w:t>
            </w:r>
          </w:p>
        </w:tc>
        <w:tc>
          <w:tcPr>
            <w:tcW w:w="531"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rPr>
              <w:t>1</w:t>
            </w:r>
          </w:p>
        </w:tc>
        <w:tc>
          <w:tcPr>
            <w:tcW w:w="3023" w:type="dxa"/>
            <w:tcBorders>
              <w:top w:val="single" w:color="auto" w:sz="2" w:space="0"/>
              <w:left w:val="double" w:color="auto" w:sz="4"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甲</w:t>
            </w:r>
          </w:p>
        </w:tc>
        <w:tc>
          <w:tcPr>
            <w:tcW w:w="636"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乙</w:t>
            </w:r>
          </w:p>
        </w:tc>
        <w:tc>
          <w:tcPr>
            <w:tcW w:w="538"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szCs w:val="18"/>
              </w:rPr>
              <w:t>丙</w:t>
            </w:r>
          </w:p>
        </w:tc>
        <w:tc>
          <w:tcPr>
            <w:tcW w:w="467" w:type="dxa"/>
            <w:tcBorders>
              <w:top w:val="single" w:color="auto" w:sz="2" w:space="0"/>
              <w:left w:val="single" w:color="auto" w:sz="2" w:space="0"/>
              <w:bottom w:val="single" w:color="auto" w:sz="2" w:space="0"/>
              <w:right w:val="nil"/>
            </w:tcBorders>
            <w:vAlign w:val="center"/>
          </w:tcPr>
          <w:p>
            <w:pPr>
              <w:autoSpaceDE w:val="0"/>
              <w:autoSpaceDN w:val="0"/>
              <w:spacing w:line="220" w:lineRule="exact"/>
              <w:jc w:val="center"/>
              <w:rPr>
                <w:rFonts w:ascii="宋体" w:hAnsi="宋体" w:cs="宋体"/>
                <w:sz w:val="18"/>
                <w:szCs w:val="18"/>
              </w:rPr>
            </w:pPr>
            <w:r>
              <w:rPr>
                <w:rFonts w:hint="eastAsia" w:ascii="宋体" w:hAnsi="宋体" w:cs="宋体"/>
                <w:sz w:val="18"/>
              </w:rPr>
              <w:t>1</w:t>
            </w:r>
          </w:p>
        </w:tc>
      </w:tr>
      <w:tr>
        <w:tblPrEx>
          <w:tblCellMar>
            <w:top w:w="0" w:type="dxa"/>
            <w:left w:w="108" w:type="dxa"/>
            <w:bottom w:w="0" w:type="dxa"/>
            <w:right w:w="108" w:type="dxa"/>
          </w:tblCellMar>
        </w:tblPrEx>
        <w:trPr>
          <w:trHeight w:val="7309" w:hRule="atLeast"/>
          <w:jc w:val="center"/>
        </w:trPr>
        <w:tc>
          <w:tcPr>
            <w:tcW w:w="3092" w:type="dxa"/>
            <w:tcBorders>
              <w:top w:val="single" w:color="auto" w:sz="2" w:space="0"/>
              <w:left w:val="nil"/>
              <w:bottom w:val="single" w:color="auto" w:sz="8" w:space="0"/>
              <w:right w:val="single" w:color="auto" w:sz="2" w:space="0"/>
            </w:tcBorders>
          </w:tcPr>
          <w:p>
            <w:pPr>
              <w:autoSpaceDE w:val="0"/>
              <w:autoSpaceDN w:val="0"/>
              <w:adjustRightInd w:val="0"/>
              <w:snapToGrid w:val="0"/>
              <w:spacing w:before="24" w:beforeLines="10" w:line="300" w:lineRule="exact"/>
              <w:ind w:left="-105" w:leftChars="-50" w:right="-105" w:rightChars="-50"/>
              <w:jc w:val="left"/>
              <w:rPr>
                <w:rFonts w:ascii="宋体" w:hAnsi="宋体" w:cs="宋体"/>
                <w:spacing w:val="-4"/>
                <w:sz w:val="18"/>
                <w:szCs w:val="18"/>
              </w:rPr>
            </w:pPr>
            <w:r>
              <w:rPr>
                <w:rFonts w:hint="eastAsia" w:ascii="宋体" w:hAnsi="宋体" w:cs="宋体"/>
                <w:spacing w:val="-4"/>
                <w:sz w:val="18"/>
                <w:szCs w:val="18"/>
              </w:rPr>
              <w:t>一、从业人员</w:t>
            </w:r>
          </w:p>
          <w:p>
            <w:pPr>
              <w:autoSpaceDE w:val="0"/>
              <w:autoSpaceDN w:val="0"/>
              <w:adjustRightInd w:val="0"/>
              <w:snapToGrid w:val="0"/>
              <w:spacing w:line="300" w:lineRule="exact"/>
              <w:ind w:left="-105" w:leftChars="-50" w:right="-105" w:rightChars="-50"/>
              <w:jc w:val="left"/>
              <w:rPr>
                <w:rFonts w:ascii="宋体" w:hAnsi="宋体" w:cs="宋体"/>
                <w:spacing w:val="-4"/>
                <w:sz w:val="18"/>
                <w:szCs w:val="18"/>
              </w:rPr>
            </w:pPr>
            <w:r>
              <w:rPr>
                <w:rFonts w:hint="eastAsia" w:ascii="宋体" w:hAnsi="宋体" w:cs="宋体"/>
                <w:spacing w:val="-4"/>
                <w:sz w:val="18"/>
                <w:szCs w:val="18"/>
              </w:rPr>
              <w:t xml:space="preserve">    从业人员期末人数</w:t>
            </w:r>
          </w:p>
          <w:p>
            <w:pPr>
              <w:autoSpaceDE w:val="0"/>
              <w:autoSpaceDN w:val="0"/>
              <w:snapToGrid w:val="0"/>
              <w:spacing w:line="300" w:lineRule="exact"/>
              <w:ind w:left="-105" w:leftChars="-50" w:right="-105" w:rightChars="-50"/>
              <w:jc w:val="left"/>
              <w:rPr>
                <w:rFonts w:ascii="宋体" w:hAnsi="宋体" w:cs="宋体"/>
                <w:spacing w:val="-4"/>
                <w:sz w:val="18"/>
                <w:szCs w:val="18"/>
              </w:rPr>
            </w:pPr>
            <w:r>
              <w:rPr>
                <w:rFonts w:hint="eastAsia" w:ascii="宋体" w:hAnsi="宋体" w:cs="宋体"/>
                <w:spacing w:val="-4"/>
                <w:sz w:val="18"/>
                <w:szCs w:val="18"/>
              </w:rPr>
              <w:t xml:space="preserve">      其中：女性</w:t>
            </w:r>
          </w:p>
          <w:p>
            <w:pPr>
              <w:autoSpaceDE w:val="0"/>
              <w:autoSpaceDN w:val="0"/>
              <w:snapToGrid w:val="0"/>
              <w:spacing w:line="300" w:lineRule="exact"/>
              <w:ind w:right="-105" w:rightChars="-50"/>
              <w:jc w:val="left"/>
              <w:rPr>
                <w:rFonts w:ascii="宋体" w:hAnsi="宋体" w:cs="宋体"/>
                <w:spacing w:val="-4"/>
                <w:sz w:val="18"/>
                <w:szCs w:val="18"/>
              </w:rPr>
            </w:pPr>
            <w:r>
              <w:rPr>
                <w:rFonts w:hint="eastAsia" w:ascii="宋体" w:hAnsi="宋体" w:cs="宋体"/>
                <w:spacing w:val="-4"/>
                <w:sz w:val="18"/>
                <w:szCs w:val="18"/>
              </w:rPr>
              <w:t xml:space="preserve">   按人员类型分：</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在岗职工</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劳务派遣人员</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其他从业人员</w:t>
            </w:r>
          </w:p>
          <w:p>
            <w:pPr>
              <w:autoSpaceDE w:val="0"/>
              <w:autoSpaceDN w:val="0"/>
              <w:snapToGrid w:val="0"/>
              <w:spacing w:line="300" w:lineRule="exact"/>
              <w:ind w:left="-105" w:leftChars="-50"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按职业类型分：</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中层及以上管理人员</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专业技术人员</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办事人员和有关人员</w:t>
            </w:r>
          </w:p>
          <w:p>
            <w:pPr>
              <w:autoSpaceDE w:val="0"/>
              <w:autoSpaceDN w:val="0"/>
              <w:snapToGrid w:val="0"/>
              <w:spacing w:line="300" w:lineRule="exact"/>
              <w:ind w:right="-105" w:rightChars="-50"/>
              <w:jc w:val="left"/>
              <w:rPr>
                <w:rFonts w:ascii="宋体" w:hAnsi="宋体" w:cs="宋体"/>
                <w:spacing w:val="-4"/>
                <w:sz w:val="18"/>
                <w:szCs w:val="18"/>
              </w:rPr>
            </w:pPr>
            <w:r>
              <w:rPr>
                <w:rFonts w:hint="eastAsia" w:ascii="宋体" w:hAnsi="宋体" w:cs="宋体"/>
                <w:spacing w:val="-4"/>
                <w:sz w:val="18"/>
                <w:szCs w:val="18"/>
              </w:rPr>
              <w:t xml:space="preserve">     社会生产服务和生活服务人员</w:t>
            </w:r>
          </w:p>
          <w:p>
            <w:pPr>
              <w:autoSpaceDE w:val="0"/>
              <w:autoSpaceDN w:val="0"/>
              <w:snapToGrid w:val="0"/>
              <w:spacing w:line="300" w:lineRule="exact"/>
              <w:ind w:left="-105" w:leftChars="-50" w:right="-105" w:rightChars="-50" w:firstLine="516" w:firstLineChars="300"/>
              <w:jc w:val="left"/>
              <w:rPr>
                <w:rFonts w:ascii="宋体" w:hAnsi="宋体" w:cs="宋体"/>
                <w:spacing w:val="-14"/>
                <w:sz w:val="18"/>
                <w:szCs w:val="18"/>
              </w:rPr>
            </w:pPr>
            <w:r>
              <w:rPr>
                <w:rFonts w:hint="eastAsia" w:ascii="宋体" w:hAnsi="宋体" w:cs="宋体"/>
                <w:spacing w:val="-4"/>
                <w:sz w:val="18"/>
                <w:szCs w:val="18"/>
              </w:rPr>
              <w:t>生产制造及有关人员</w:t>
            </w:r>
          </w:p>
          <w:p>
            <w:pPr>
              <w:autoSpaceDE w:val="0"/>
              <w:autoSpaceDN w:val="0"/>
              <w:snapToGrid w:val="0"/>
              <w:spacing w:line="300" w:lineRule="exact"/>
              <w:ind w:left="-105" w:leftChars="-50"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从业人员平均人数</w:t>
            </w:r>
          </w:p>
          <w:p>
            <w:pPr>
              <w:autoSpaceDE w:val="0"/>
              <w:autoSpaceDN w:val="0"/>
              <w:snapToGrid w:val="0"/>
              <w:spacing w:line="300" w:lineRule="exact"/>
              <w:ind w:left="-105" w:leftChars="-50"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按人员类型分：</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在岗职工</w:t>
            </w:r>
          </w:p>
          <w:p>
            <w:pPr>
              <w:autoSpaceDE w:val="0"/>
              <w:autoSpaceDN w:val="0"/>
              <w:snapToGrid w:val="0"/>
              <w:spacing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劳务派遣人员</w:t>
            </w:r>
          </w:p>
          <w:p>
            <w:pPr>
              <w:autoSpaceDE w:val="0"/>
              <w:autoSpaceDN w:val="0"/>
              <w:snapToGrid w:val="0"/>
              <w:spacing w:after="48" w:afterLines="20" w:line="300" w:lineRule="exact"/>
              <w:ind w:left="-105" w:leftChars="-50"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其他从业人员</w:t>
            </w:r>
          </w:p>
          <w:p>
            <w:pPr>
              <w:autoSpaceDE w:val="0"/>
              <w:autoSpaceDN w:val="0"/>
              <w:snapToGrid w:val="0"/>
              <w:spacing w:before="24" w:beforeLines="10" w:line="300" w:lineRule="exact"/>
              <w:ind w:left="-105" w:leftChars="-50"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 xml:space="preserve"> 按职业类型分：</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中层及以上管理人员</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专业技术人员</w:t>
            </w:r>
          </w:p>
          <w:p>
            <w:pPr>
              <w:tabs>
                <w:tab w:val="left" w:pos="2445"/>
              </w:tabs>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办事人员和有关人员</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社会生产服务和生活服务人员</w:t>
            </w:r>
          </w:p>
          <w:p>
            <w:pPr>
              <w:autoSpaceDE w:val="0"/>
              <w:autoSpaceDN w:val="0"/>
              <w:snapToGrid w:val="0"/>
              <w:spacing w:line="300" w:lineRule="exact"/>
              <w:ind w:right="-105" w:rightChars="-50" w:firstLine="456" w:firstLineChars="300"/>
              <w:jc w:val="left"/>
              <w:rPr>
                <w:rFonts w:ascii="宋体" w:hAnsi="宋体" w:cs="宋体"/>
                <w:spacing w:val="-4"/>
                <w:sz w:val="18"/>
                <w:szCs w:val="18"/>
              </w:rPr>
            </w:pPr>
            <w:r>
              <w:rPr>
                <w:rFonts w:hint="eastAsia" w:ascii="宋体" w:hAnsi="宋体" w:cs="宋体"/>
                <w:spacing w:val="-14"/>
                <w:sz w:val="18"/>
                <w:szCs w:val="18"/>
              </w:rPr>
              <w:t xml:space="preserve"> </w:t>
            </w:r>
            <w:r>
              <w:rPr>
                <w:rFonts w:ascii="宋体" w:hAnsi="宋体" w:cs="宋体"/>
                <w:spacing w:val="-4"/>
                <w:sz w:val="18"/>
                <w:szCs w:val="18"/>
              </w:rPr>
              <w:t>生产制造及有关人员</w:t>
            </w:r>
          </w:p>
        </w:tc>
        <w:tc>
          <w:tcPr>
            <w:tcW w:w="622" w:type="dxa"/>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before="24" w:beforeLines="10"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before="24" w:beforeLines="10"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tc>
        <w:tc>
          <w:tcPr>
            <w:tcW w:w="502" w:type="dxa"/>
            <w:tcBorders>
              <w:top w:val="single" w:color="auto" w:sz="2" w:space="0"/>
              <w:left w:val="single" w:color="auto" w:sz="2" w:space="0"/>
              <w:bottom w:val="single" w:color="auto" w:sz="8" w:space="0"/>
              <w:right w:val="single" w:color="auto" w:sz="2" w:space="0"/>
            </w:tcBorders>
          </w:tcPr>
          <w:p>
            <w:pPr>
              <w:autoSpaceDE w:val="0"/>
              <w:autoSpaceDN w:val="0"/>
              <w:snapToGrid w:val="0"/>
              <w:spacing w:before="24" w:beforeLines="10"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01</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02</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05</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06</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07</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71</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72</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73</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74</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75</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08</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09</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10</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11</w:t>
            </w:r>
          </w:p>
          <w:p>
            <w:pPr>
              <w:autoSpaceDE w:val="0"/>
              <w:autoSpaceDN w:val="0"/>
              <w:snapToGrid w:val="0"/>
              <w:spacing w:before="24" w:beforeLines="10"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76</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77</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78</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79</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80</w:t>
            </w:r>
          </w:p>
        </w:tc>
        <w:tc>
          <w:tcPr>
            <w:tcW w:w="531" w:type="dxa"/>
            <w:tcBorders>
              <w:top w:val="single" w:color="auto" w:sz="2" w:space="0"/>
              <w:left w:val="single" w:color="auto" w:sz="2" w:space="0"/>
              <w:bottom w:val="single" w:color="auto" w:sz="8" w:space="0"/>
              <w:right w:val="single" w:color="auto" w:sz="2" w:space="0"/>
            </w:tcBorders>
          </w:tcPr>
          <w:p>
            <w:pPr>
              <w:snapToGrid w:val="0"/>
              <w:spacing w:line="300" w:lineRule="exact"/>
              <w:ind w:left="-105" w:leftChars="-50" w:right="-105" w:rightChars="-50"/>
              <w:jc w:val="center"/>
              <w:rPr>
                <w:rFonts w:ascii="宋体" w:hAnsi="宋体" w:cs="宋体"/>
                <w:b/>
                <w:bCs/>
                <w:spacing w:val="-4"/>
                <w:sz w:val="18"/>
                <w:szCs w:val="18"/>
              </w:rPr>
            </w:pPr>
          </w:p>
        </w:tc>
        <w:tc>
          <w:tcPr>
            <w:tcW w:w="3023" w:type="dxa"/>
            <w:tcBorders>
              <w:top w:val="single" w:color="auto" w:sz="2" w:space="0"/>
              <w:left w:val="double" w:color="auto" w:sz="4" w:space="0"/>
              <w:bottom w:val="single" w:color="auto" w:sz="8" w:space="0"/>
              <w:right w:val="single" w:color="auto" w:sz="2" w:space="0"/>
            </w:tcBorders>
          </w:tcPr>
          <w:p>
            <w:pPr>
              <w:autoSpaceDE w:val="0"/>
              <w:autoSpaceDN w:val="0"/>
              <w:snapToGrid w:val="0"/>
              <w:spacing w:line="300" w:lineRule="exact"/>
              <w:ind w:right="-105" w:rightChars="-50"/>
              <w:jc w:val="left"/>
              <w:rPr>
                <w:rFonts w:ascii="宋体" w:hAnsi="宋体" w:cs="宋体"/>
                <w:spacing w:val="-4"/>
                <w:sz w:val="18"/>
                <w:szCs w:val="18"/>
              </w:rPr>
            </w:pPr>
            <w:r>
              <w:rPr>
                <w:rFonts w:hint="eastAsia" w:ascii="宋体" w:hAnsi="宋体" w:cs="宋体"/>
                <w:spacing w:val="-4"/>
                <w:sz w:val="18"/>
                <w:szCs w:val="18"/>
              </w:rPr>
              <w:t>二、工资总额</w:t>
            </w:r>
          </w:p>
          <w:p>
            <w:pPr>
              <w:autoSpaceDE w:val="0"/>
              <w:autoSpaceDN w:val="0"/>
              <w:snapToGrid w:val="0"/>
              <w:spacing w:line="300" w:lineRule="exact"/>
              <w:ind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从业人员工资总额</w:t>
            </w:r>
          </w:p>
          <w:p>
            <w:pPr>
              <w:autoSpaceDE w:val="0"/>
              <w:autoSpaceDN w:val="0"/>
              <w:snapToGrid w:val="0"/>
              <w:spacing w:line="300" w:lineRule="exact"/>
              <w:ind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按人员类型分：</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在岗职工</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劳务派遣人员</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其他从业人员</w:t>
            </w:r>
          </w:p>
          <w:p>
            <w:pPr>
              <w:autoSpaceDE w:val="0"/>
              <w:autoSpaceDN w:val="0"/>
              <w:snapToGrid w:val="0"/>
              <w:spacing w:line="300" w:lineRule="exact"/>
              <w:ind w:right="-105" w:rightChars="-50" w:firstLine="344" w:firstLineChars="200"/>
              <w:jc w:val="left"/>
              <w:rPr>
                <w:rFonts w:ascii="宋体" w:hAnsi="宋体" w:cs="宋体"/>
                <w:spacing w:val="-4"/>
                <w:sz w:val="18"/>
                <w:szCs w:val="18"/>
              </w:rPr>
            </w:pPr>
            <w:r>
              <w:rPr>
                <w:rFonts w:hint="eastAsia" w:ascii="宋体" w:hAnsi="宋体" w:cs="宋体"/>
                <w:spacing w:val="-4"/>
                <w:sz w:val="18"/>
                <w:szCs w:val="18"/>
              </w:rPr>
              <w:t>按职业类型分：</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中层及以上管理人员</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专业技术人员</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办事人员和有关人员</w:t>
            </w:r>
          </w:p>
          <w:p>
            <w:pPr>
              <w:autoSpaceDE w:val="0"/>
              <w:autoSpaceDN w:val="0"/>
              <w:snapToGrid w:val="0"/>
              <w:spacing w:line="300" w:lineRule="exact"/>
              <w:ind w:right="-105" w:rightChars="-50" w:firstLine="516" w:firstLineChars="300"/>
              <w:jc w:val="left"/>
              <w:rPr>
                <w:rFonts w:ascii="宋体" w:hAnsi="宋体" w:cs="宋体"/>
                <w:spacing w:val="-4"/>
                <w:sz w:val="18"/>
                <w:szCs w:val="18"/>
              </w:rPr>
            </w:pPr>
            <w:r>
              <w:rPr>
                <w:rFonts w:hint="eastAsia" w:ascii="宋体" w:hAnsi="宋体" w:cs="宋体"/>
                <w:spacing w:val="-4"/>
                <w:sz w:val="18"/>
                <w:szCs w:val="18"/>
              </w:rPr>
              <w:t>社会生产服务和生活服务人员</w:t>
            </w:r>
          </w:p>
          <w:p>
            <w:pPr>
              <w:autoSpaceDE w:val="0"/>
              <w:autoSpaceDN w:val="0"/>
              <w:snapToGrid w:val="0"/>
              <w:spacing w:after="24" w:afterLines="10" w:line="300" w:lineRule="exact"/>
              <w:ind w:right="-105" w:rightChars="-50" w:firstLine="456" w:firstLineChars="300"/>
              <w:jc w:val="left"/>
              <w:rPr>
                <w:rFonts w:ascii="宋体" w:hAnsi="宋体" w:cs="宋体"/>
                <w:spacing w:val="-4"/>
                <w:sz w:val="18"/>
                <w:szCs w:val="18"/>
              </w:rPr>
            </w:pPr>
            <w:r>
              <w:rPr>
                <w:rFonts w:hint="eastAsia" w:ascii="宋体" w:hAnsi="宋体" w:cs="宋体"/>
                <w:spacing w:val="-14"/>
                <w:sz w:val="18"/>
                <w:szCs w:val="18"/>
              </w:rPr>
              <w:t xml:space="preserve"> </w:t>
            </w:r>
            <w:r>
              <w:rPr>
                <w:rFonts w:hint="eastAsia" w:ascii="宋体" w:hAnsi="宋体" w:cs="宋体"/>
                <w:spacing w:val="-4"/>
                <w:sz w:val="18"/>
                <w:szCs w:val="18"/>
              </w:rPr>
              <w:t>生产制造及有关人员</w:t>
            </w:r>
          </w:p>
          <w:p>
            <w:pPr>
              <w:autoSpaceDE w:val="0"/>
              <w:autoSpaceDN w:val="0"/>
              <w:snapToGrid w:val="0"/>
              <w:spacing w:line="300" w:lineRule="exact"/>
              <w:ind w:right="-105" w:rightChars="-5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三、平均工资</w:t>
            </w:r>
          </w:p>
          <w:p>
            <w:pPr>
              <w:autoSpaceDE w:val="0"/>
              <w:autoSpaceDN w:val="0"/>
              <w:snapToGrid w:val="0"/>
              <w:spacing w:line="300" w:lineRule="exact"/>
              <w:ind w:right="-105" w:rightChars="-50" w:firstLine="344" w:firstLineChars="2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从业人员平均工资</w:t>
            </w:r>
          </w:p>
          <w:p>
            <w:pPr>
              <w:autoSpaceDE w:val="0"/>
              <w:autoSpaceDN w:val="0"/>
              <w:snapToGrid w:val="0"/>
              <w:spacing w:line="300" w:lineRule="exact"/>
              <w:ind w:right="-105" w:rightChars="-50" w:firstLine="344" w:firstLineChars="2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按人员类型分：</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在岗职工</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劳务派遣人员</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其他从业人员</w:t>
            </w:r>
          </w:p>
          <w:p>
            <w:pPr>
              <w:autoSpaceDE w:val="0"/>
              <w:autoSpaceDN w:val="0"/>
              <w:snapToGrid w:val="0"/>
              <w:spacing w:line="300" w:lineRule="exact"/>
              <w:ind w:right="-105" w:rightChars="-50" w:firstLine="344" w:firstLineChars="2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按职业类型分：</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中层及以上管理人员</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专业技术人员</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办事人员和有关人员</w:t>
            </w:r>
          </w:p>
          <w:p>
            <w:pPr>
              <w:autoSpaceDE w:val="0"/>
              <w:autoSpaceDN w:val="0"/>
              <w:snapToGrid w:val="0"/>
              <w:spacing w:line="300" w:lineRule="exact"/>
              <w:ind w:right="-105" w:rightChars="-50" w:firstLine="516" w:firstLineChars="300"/>
              <w:jc w:val="left"/>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社会生产服务和生活服务人员</w:t>
            </w:r>
          </w:p>
          <w:p>
            <w:pPr>
              <w:autoSpaceDE w:val="0"/>
              <w:autoSpaceDN w:val="0"/>
              <w:snapToGrid w:val="0"/>
              <w:spacing w:after="24" w:afterLines="10" w:line="300" w:lineRule="exact"/>
              <w:ind w:right="-105" w:rightChars="-50" w:firstLine="456" w:firstLineChars="300"/>
              <w:jc w:val="left"/>
              <w:rPr>
                <w:rFonts w:ascii="宋体" w:hAnsi="宋体" w:cs="宋体"/>
                <w:spacing w:val="-4"/>
                <w:sz w:val="18"/>
                <w:szCs w:val="18"/>
              </w:rPr>
            </w:pPr>
            <w:r>
              <w:rPr>
                <w:rFonts w:hint="eastAsia" w:ascii="宋体" w:hAnsi="宋体" w:cs="宋体"/>
                <w:spacing w:val="-14"/>
                <w:sz w:val="18"/>
                <w:szCs w:val="18"/>
                <w:shd w:val="clear" w:color="FFFFFF" w:fill="D9D9D9"/>
              </w:rPr>
              <w:t xml:space="preserve"> </w:t>
            </w:r>
            <w:r>
              <w:rPr>
                <w:rFonts w:hint="eastAsia" w:ascii="宋体" w:hAnsi="宋体" w:cs="宋体"/>
                <w:spacing w:val="-4"/>
                <w:sz w:val="18"/>
                <w:szCs w:val="18"/>
                <w:shd w:val="clear" w:color="FFFFFF" w:fill="D9D9D9"/>
              </w:rPr>
              <w:t>生产制造及有关人员</w:t>
            </w:r>
          </w:p>
        </w:tc>
        <w:tc>
          <w:tcPr>
            <w:tcW w:w="636" w:type="dxa"/>
            <w:tcBorders>
              <w:top w:val="single" w:color="auto" w:sz="2" w:space="0"/>
              <w:left w:val="single" w:color="auto" w:sz="2" w:space="0"/>
              <w:bottom w:val="single" w:color="auto" w:sz="8" w:space="0"/>
              <w:right w:val="single" w:color="auto" w:sz="2" w:space="0"/>
            </w:tcBorders>
          </w:tcPr>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千元</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w:t>
            </w:r>
          </w:p>
          <w:p>
            <w:pPr>
              <w:autoSpaceDE w:val="0"/>
              <w:autoSpaceDN w:val="0"/>
              <w:snapToGrid w:val="0"/>
              <w:spacing w:line="300" w:lineRule="exact"/>
              <w:ind w:left="-105" w:leftChars="-50" w:right="-105" w:rightChars="-50"/>
              <w:jc w:val="cente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元</w:t>
            </w:r>
          </w:p>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shd w:val="clear" w:color="FFFFFF" w:fill="D9D9D9"/>
              </w:rP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元</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shd w:val="clear" w:color="FFFFFF" w:fill="D9D9D9"/>
              </w:rPr>
              <w:t>元</w:t>
            </w:r>
          </w:p>
        </w:tc>
        <w:tc>
          <w:tcPr>
            <w:tcW w:w="538" w:type="dxa"/>
            <w:tcBorders>
              <w:top w:val="single" w:color="auto" w:sz="2" w:space="0"/>
              <w:left w:val="single" w:color="auto" w:sz="2" w:space="0"/>
              <w:bottom w:val="single" w:color="auto" w:sz="8" w:space="0"/>
              <w:right w:val="single" w:color="auto" w:sz="2" w:space="0"/>
            </w:tcBorders>
          </w:tcPr>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12</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13</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18</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19</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81</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82</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83</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84</w:t>
            </w:r>
          </w:p>
          <w:p>
            <w:pPr>
              <w:autoSpaceDE w:val="0"/>
              <w:autoSpaceDN w:val="0"/>
              <w:snapToGrid w:val="0"/>
              <w:spacing w:line="300" w:lineRule="exact"/>
              <w:ind w:left="-105" w:leftChars="-50" w:right="-105" w:rightChars="-50"/>
              <w:jc w:val="center"/>
              <w:rPr>
                <w:rFonts w:ascii="宋体" w:hAnsi="宋体" w:cs="宋体"/>
                <w:spacing w:val="-4"/>
                <w:sz w:val="18"/>
                <w:szCs w:val="18"/>
              </w:rPr>
            </w:pPr>
            <w:r>
              <w:rPr>
                <w:rFonts w:hint="eastAsia" w:ascii="宋体" w:hAnsi="宋体" w:cs="宋体"/>
                <w:spacing w:val="-4"/>
                <w:sz w:val="18"/>
                <w:szCs w:val="18"/>
              </w:rPr>
              <w:t>85</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20</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21</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22</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23</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8</w:t>
            </w:r>
            <w:r>
              <w:rPr>
                <w:rFonts w:ascii="宋体" w:hAnsi="宋体" w:cs="宋体"/>
                <w:spacing w:val="-4"/>
                <w:sz w:val="18"/>
                <w:szCs w:val="18"/>
                <w:shd w:val="clear" w:color="FFFFFF" w:fill="D9D9D9"/>
              </w:rPr>
              <w:t>6</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8</w:t>
            </w:r>
            <w:r>
              <w:rPr>
                <w:rFonts w:ascii="宋体" w:hAnsi="宋体" w:cs="宋体"/>
                <w:spacing w:val="-4"/>
                <w:sz w:val="18"/>
                <w:szCs w:val="18"/>
                <w:shd w:val="clear" w:color="FFFFFF" w:fill="D9D9D9"/>
              </w:rPr>
              <w:t>7</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8</w:t>
            </w:r>
            <w:r>
              <w:rPr>
                <w:rFonts w:ascii="宋体" w:hAnsi="宋体" w:cs="宋体"/>
                <w:spacing w:val="-4"/>
                <w:sz w:val="18"/>
                <w:szCs w:val="18"/>
                <w:shd w:val="clear" w:color="FFFFFF" w:fill="D9D9D9"/>
              </w:rPr>
              <w:t>8</w:t>
            </w:r>
          </w:p>
          <w:p>
            <w:pPr>
              <w:autoSpaceDE w:val="0"/>
              <w:autoSpaceDN w:val="0"/>
              <w:snapToGrid w:val="0"/>
              <w:spacing w:line="300" w:lineRule="exact"/>
              <w:ind w:left="-105" w:leftChars="-50" w:right="-105" w:rightChars="-50"/>
              <w:jc w:val="center"/>
              <w:rPr>
                <w:rFonts w:ascii="宋体" w:hAnsi="宋体" w:cs="宋体"/>
                <w:spacing w:val="-4"/>
                <w:sz w:val="18"/>
                <w:szCs w:val="18"/>
                <w:shd w:val="clear" w:color="FFFFFF" w:fill="D9D9D9"/>
              </w:rPr>
            </w:pPr>
            <w:r>
              <w:rPr>
                <w:rFonts w:hint="eastAsia" w:ascii="宋体" w:hAnsi="宋体" w:cs="宋体"/>
                <w:spacing w:val="-4"/>
                <w:sz w:val="18"/>
                <w:szCs w:val="18"/>
                <w:shd w:val="clear" w:color="FFFFFF" w:fill="D9D9D9"/>
              </w:rPr>
              <w:t>8</w:t>
            </w:r>
            <w:r>
              <w:rPr>
                <w:rFonts w:ascii="宋体" w:hAnsi="宋体" w:cs="宋体"/>
                <w:spacing w:val="-4"/>
                <w:sz w:val="18"/>
                <w:szCs w:val="18"/>
                <w:shd w:val="clear" w:color="FFFFFF" w:fill="D9D9D9"/>
              </w:rPr>
              <w:t>9</w:t>
            </w:r>
          </w:p>
          <w:p>
            <w:pPr>
              <w:snapToGrid w:val="0"/>
              <w:spacing w:line="300" w:lineRule="exact"/>
              <w:ind w:left="-105" w:leftChars="-50" w:right="-105" w:rightChars="-50"/>
              <w:jc w:val="center"/>
              <w:rPr>
                <w:rFonts w:ascii="宋体" w:hAnsi="宋体" w:cs="宋体"/>
                <w:spacing w:val="-4"/>
                <w:sz w:val="18"/>
                <w:szCs w:val="18"/>
              </w:rPr>
            </w:pPr>
            <w:r>
              <w:rPr>
                <w:rFonts w:ascii="宋体" w:hAnsi="宋体" w:cs="宋体"/>
                <w:spacing w:val="-4"/>
                <w:sz w:val="18"/>
                <w:szCs w:val="18"/>
                <w:shd w:val="clear" w:color="FFFFFF" w:fill="D9D9D9"/>
              </w:rPr>
              <w:t>90</w:t>
            </w:r>
          </w:p>
        </w:tc>
        <w:tc>
          <w:tcPr>
            <w:tcW w:w="467" w:type="dxa"/>
            <w:tcBorders>
              <w:top w:val="single" w:color="auto" w:sz="2" w:space="0"/>
              <w:left w:val="single" w:color="auto" w:sz="2" w:space="0"/>
              <w:bottom w:val="single" w:color="auto" w:sz="8" w:space="0"/>
              <w:right w:val="nil"/>
            </w:tcBorders>
          </w:tcPr>
          <w:p>
            <w:pPr>
              <w:snapToGrid w:val="0"/>
              <w:spacing w:line="300" w:lineRule="exact"/>
              <w:ind w:left="-105" w:leftChars="-50" w:right="-105" w:rightChars="-50"/>
              <w:jc w:val="center"/>
              <w:rPr>
                <w:rFonts w:ascii="宋体" w:hAnsi="宋体" w:cs="宋体"/>
                <w:b/>
                <w:bCs/>
                <w:spacing w:val="-4"/>
                <w:sz w:val="18"/>
                <w:szCs w:val="18"/>
              </w:rPr>
            </w:pPr>
          </w:p>
        </w:tc>
      </w:tr>
    </w:tbl>
    <w:p>
      <w:pPr>
        <w:spacing w:line="240" w:lineRule="exact"/>
        <w:ind w:left="126" w:leftChars="60" w:right="105" w:rightChars="50"/>
        <w:rPr>
          <w:rFonts w:ascii="宋体" w:hAnsi="宋体" w:cs="宋体"/>
          <w:kern w:val="0"/>
          <w:sz w:val="18"/>
          <w:szCs w:val="18"/>
        </w:rPr>
      </w:pPr>
      <w:r>
        <w:rPr>
          <w:rFonts w:hint="eastAsia" w:ascii="宋体" w:hAnsi="宋体" w:cs="宋体"/>
          <w:kern w:val="0"/>
          <w:sz w:val="18"/>
          <w:szCs w:val="18"/>
        </w:rPr>
        <w:t xml:space="preserve">单位负责人：        统计负责人：        填表人：          联系电话：  </w:t>
      </w:r>
      <w:r>
        <w:rPr>
          <w:rFonts w:hint="eastAsia" w:ascii="宋体" w:hAnsi="宋体" w:cs="宋体"/>
          <w:sz w:val="18"/>
          <w:szCs w:val="18"/>
        </w:rPr>
        <w:t xml:space="preserve"> </w:t>
      </w:r>
      <w:r>
        <w:rPr>
          <w:rFonts w:hint="eastAsia" w:ascii="宋体" w:hAnsi="宋体" w:cs="宋体"/>
          <w:kern w:val="0"/>
          <w:sz w:val="18"/>
          <w:szCs w:val="18"/>
        </w:rPr>
        <w:t xml:space="preserve">        报出日期：2 0   年   月   日</w:t>
      </w:r>
    </w:p>
    <w:p>
      <w:pPr>
        <w:kinsoku w:val="0"/>
        <w:overflowPunct w:val="0"/>
        <w:adjustRightInd w:val="0"/>
        <w:snapToGrid w:val="0"/>
        <w:spacing w:line="240" w:lineRule="exact"/>
        <w:ind w:left="1619" w:leftChars="-1" w:hanging="1621" w:hangingChars="901"/>
        <w:rPr>
          <w:rFonts w:ascii="宋体" w:hAnsi="宋体" w:cs="宋体"/>
          <w:bCs/>
          <w:kern w:val="0"/>
          <w:sz w:val="18"/>
          <w:szCs w:val="18"/>
        </w:rPr>
      </w:pPr>
    </w:p>
    <w:p>
      <w:pPr>
        <w:kinsoku w:val="0"/>
        <w:overflowPunct w:val="0"/>
        <w:adjustRightInd w:val="0"/>
        <w:snapToGrid w:val="0"/>
        <w:spacing w:line="240" w:lineRule="exact"/>
        <w:ind w:left="1674" w:leftChars="60" w:right="105" w:rightChars="50" w:hanging="1548" w:hangingChars="860"/>
        <w:rPr>
          <w:rFonts w:ascii="宋体" w:hAnsi="宋体" w:cs="宋体"/>
          <w:sz w:val="18"/>
        </w:rPr>
      </w:pPr>
      <w:r>
        <w:rPr>
          <w:rFonts w:hint="eastAsia" w:ascii="宋体" w:hAnsi="宋体" w:cs="宋体"/>
          <w:bCs/>
          <w:kern w:val="0"/>
          <w:sz w:val="18"/>
          <w:szCs w:val="18"/>
        </w:rPr>
        <w:t>说明：1.统计范围：</w:t>
      </w:r>
      <w:r>
        <w:rPr>
          <w:rFonts w:hint="eastAsia" w:ascii="宋体" w:hAnsi="宋体" w:cs="宋体"/>
          <w:sz w:val="18"/>
          <w:szCs w:val="18"/>
        </w:rPr>
        <w:t>辖区内规模以上工业、有资质的建筑业、限额以上批发和零售业、限额以上住宿和餐饮业、有开发经营活动的房地产开发经营业、规模以上服务业法人单位。</w:t>
      </w:r>
    </w:p>
    <w:p>
      <w:pPr>
        <w:kinsoku w:val="0"/>
        <w:overflowPunct w:val="0"/>
        <w:adjustRightInd w:val="0"/>
        <w:snapToGrid w:val="0"/>
        <w:spacing w:line="240" w:lineRule="exact"/>
        <w:ind w:left="2181" w:leftChars="310" w:right="105" w:rightChars="50" w:hanging="1530" w:hangingChars="850"/>
        <w:rPr>
          <w:rFonts w:ascii="宋体" w:hAnsi="宋体" w:cs="宋体"/>
          <w:sz w:val="18"/>
          <w:szCs w:val="18"/>
        </w:rPr>
      </w:pPr>
      <w:r>
        <w:rPr>
          <w:rFonts w:hint="eastAsia" w:ascii="宋体" w:hAnsi="宋体" w:cs="宋体"/>
          <w:sz w:val="18"/>
          <w:szCs w:val="18"/>
        </w:rPr>
        <w:t>2.报送日期及方式：</w:t>
      </w:r>
      <w:r>
        <w:rPr>
          <w:rFonts w:hint="eastAsia" w:ascii="宋体" w:hAnsi="宋体" w:cs="宋体"/>
          <w:bCs/>
          <w:color w:val="000000"/>
          <w:kern w:val="0"/>
          <w:sz w:val="18"/>
          <w:szCs w:val="18"/>
        </w:rPr>
        <w:t>网络平台202</w:t>
      </w:r>
      <w:r>
        <w:rPr>
          <w:rFonts w:ascii="宋体" w:hAnsi="宋体" w:cs="宋体"/>
          <w:bCs/>
          <w:color w:val="000000"/>
          <w:kern w:val="0"/>
          <w:sz w:val="18"/>
          <w:szCs w:val="18"/>
        </w:rPr>
        <w:t>4</w:t>
      </w:r>
      <w:r>
        <w:rPr>
          <w:rFonts w:hint="eastAsia" w:ascii="宋体" w:hAnsi="宋体" w:cs="宋体"/>
          <w:bCs/>
          <w:color w:val="000000"/>
          <w:kern w:val="0"/>
          <w:sz w:val="18"/>
          <w:szCs w:val="18"/>
        </w:rPr>
        <w:t>年1</w:t>
      </w:r>
      <w:r>
        <w:rPr>
          <w:rFonts w:ascii="宋体" w:hAnsi="宋体" w:cs="宋体"/>
          <w:bCs/>
          <w:color w:val="000000"/>
          <w:kern w:val="0"/>
          <w:sz w:val="18"/>
          <w:szCs w:val="18"/>
        </w:rPr>
        <w:t>2</w:t>
      </w:r>
      <w:r>
        <w:rPr>
          <w:rFonts w:hint="eastAsia" w:ascii="宋体" w:hAnsi="宋体" w:cs="宋体"/>
          <w:bCs/>
          <w:color w:val="000000"/>
          <w:kern w:val="0"/>
          <w:sz w:val="18"/>
          <w:szCs w:val="18"/>
        </w:rPr>
        <w:t>月</w:t>
      </w:r>
      <w:r>
        <w:rPr>
          <w:rFonts w:ascii="宋体" w:hAnsi="宋体" w:cs="宋体"/>
          <w:bCs/>
          <w:color w:val="000000"/>
          <w:kern w:val="0"/>
          <w:sz w:val="18"/>
          <w:szCs w:val="18"/>
        </w:rPr>
        <w:t>3</w:t>
      </w:r>
      <w:r>
        <w:rPr>
          <w:rFonts w:hint="eastAsia" w:ascii="宋体" w:hAnsi="宋体" w:cs="宋体"/>
          <w:bCs/>
          <w:color w:val="000000"/>
          <w:kern w:val="0"/>
          <w:sz w:val="18"/>
          <w:szCs w:val="18"/>
        </w:rPr>
        <w:t>1日0：00开网；</w:t>
      </w:r>
      <w:r>
        <w:rPr>
          <w:rFonts w:hint="eastAsia" w:ascii="宋体" w:hAnsi="宋体" w:cs="宋体"/>
          <w:sz w:val="18"/>
          <w:szCs w:val="18"/>
        </w:rPr>
        <w:t>调查单位2025年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9</w:t>
      </w:r>
      <w:r>
        <w:rPr>
          <w:rFonts w:hint="eastAsia" w:ascii="宋体" w:hAnsi="宋体" w:cs="宋体"/>
          <w:sz w:val="18"/>
          <w:szCs w:val="18"/>
        </w:rPr>
        <w:t>日</w:t>
      </w:r>
      <w:r>
        <w:rPr>
          <w:rFonts w:ascii="宋体" w:hAnsi="宋体" w:cs="宋体"/>
          <w:sz w:val="18"/>
          <w:szCs w:val="18"/>
        </w:rPr>
        <w:t>12</w:t>
      </w:r>
      <w:r>
        <w:rPr>
          <w:rFonts w:hint="eastAsia" w:ascii="宋体" w:hAnsi="宋体" w:cs="宋体"/>
          <w:sz w:val="18"/>
          <w:szCs w:val="18"/>
        </w:rPr>
        <w:t>：00前独立自行网上填报，市级统计机构2025年2月</w:t>
      </w:r>
      <w:r>
        <w:rPr>
          <w:rFonts w:ascii="宋体" w:hAnsi="宋体" w:cs="宋体"/>
          <w:sz w:val="18"/>
          <w:szCs w:val="18"/>
        </w:rPr>
        <w:t>25</w:t>
      </w:r>
      <w:r>
        <w:rPr>
          <w:rFonts w:hint="eastAsia" w:ascii="宋体" w:hAnsi="宋体" w:cs="宋体"/>
          <w:sz w:val="18"/>
          <w:szCs w:val="18"/>
        </w:rPr>
        <w:t>日24：00前完成数据审核、验收、上报。</w:t>
      </w:r>
    </w:p>
    <w:p>
      <w:pPr>
        <w:snapToGrid w:val="0"/>
        <w:spacing w:line="220" w:lineRule="exact"/>
        <w:ind w:left="540" w:leftChars="257"/>
      </w:pPr>
      <w:r>
        <w:rPr>
          <w:rFonts w:hint="eastAsia" w:ascii="宋体"/>
          <w:color w:val="000000"/>
          <w:sz w:val="18"/>
        </w:rPr>
        <w:t xml:space="preserve"> 3.从业人员平均工资由联网直报平台根据调查单位填报数据计算生成，调查单位无需填写。</w:t>
      </w:r>
    </w:p>
    <w:p>
      <w:pPr>
        <w:kinsoku w:val="0"/>
        <w:overflowPunct w:val="0"/>
        <w:adjustRightInd w:val="0"/>
        <w:snapToGrid w:val="0"/>
        <w:spacing w:line="240" w:lineRule="exact"/>
        <w:ind w:left="1732" w:leftChars="310" w:hanging="1081" w:hangingChars="601"/>
        <w:rPr>
          <w:rFonts w:ascii="宋体" w:hAnsi="宋体" w:cs="宋体"/>
          <w:sz w:val="18"/>
          <w:szCs w:val="18"/>
        </w:rPr>
      </w:pPr>
      <w:r>
        <w:rPr>
          <w:rFonts w:hint="eastAsia" w:ascii="宋体" w:hAnsi="宋体" w:cs="宋体"/>
          <w:sz w:val="18"/>
          <w:szCs w:val="18"/>
        </w:rPr>
        <w:t>4.审核关系：</w:t>
      </w:r>
    </w:p>
    <w:p>
      <w:pPr>
        <w:snapToGrid w:val="0"/>
        <w:spacing w:line="240" w:lineRule="exact"/>
        <w:ind w:firstLine="720" w:firstLineChars="400"/>
        <w:rPr>
          <w:rFonts w:ascii="宋体" w:hAnsi="宋体" w:cs="宋体"/>
          <w:color w:val="000000"/>
          <w:kern w:val="0"/>
          <w:sz w:val="18"/>
          <w:szCs w:val="18"/>
        </w:rPr>
      </w:pPr>
      <w:r>
        <w:rPr>
          <w:rFonts w:hint="eastAsia" w:ascii="宋体" w:hAnsi="宋体" w:cs="宋体"/>
          <w:color w:val="000000"/>
          <w:kern w:val="0"/>
          <w:sz w:val="18"/>
          <w:szCs w:val="18"/>
        </w:rPr>
        <w:t>（1）01≥02              （2）01=05+06+07      （3）01=71+72+73+74+75     （4）08=09+10+11</w:t>
      </w:r>
    </w:p>
    <w:p>
      <w:pPr>
        <w:snapToGrid w:val="0"/>
        <w:spacing w:line="240" w:lineRule="exact"/>
        <w:ind w:firstLine="720" w:firstLineChars="400"/>
        <w:rPr>
          <w:rFonts w:ascii="宋体" w:hAnsi="宋体"/>
          <w:sz w:val="18"/>
          <w:szCs w:val="18"/>
        </w:rPr>
        <w:sectPr>
          <w:headerReference r:id="rId5" w:type="default"/>
          <w:pgSz w:w="11906" w:h="16838"/>
          <w:pgMar w:top="1418" w:right="1247" w:bottom="1247" w:left="1247" w:header="851" w:footer="851" w:gutter="0"/>
          <w:pgNumType w:fmt="numberInDash"/>
          <w:cols w:space="720" w:num="1"/>
          <w:docGrid w:linePitch="312" w:charSpace="0"/>
        </w:sectPr>
      </w:pPr>
      <w:r>
        <w:rPr>
          <w:rFonts w:hint="eastAsia" w:ascii="宋体" w:hAnsi="宋体" w:cs="宋体"/>
          <w:color w:val="000000"/>
          <w:kern w:val="0"/>
          <w:sz w:val="18"/>
          <w:szCs w:val="18"/>
        </w:rPr>
        <w:t xml:space="preserve">（5）08=76+77+78+79+80   （6）12=13+18+19      （7）12=81+82+83+84+85 </w:t>
      </w:r>
    </w:p>
    <w:p>
      <w:pPr>
        <w:spacing w:before="480" w:beforeLines="200" w:after="240" w:afterLines="100" w:line="440" w:lineRule="exact"/>
        <w:jc w:val="center"/>
        <w:outlineLvl w:val="2"/>
        <w:rPr>
          <w:rFonts w:ascii="宋体" w:hAnsi="宋体"/>
          <w:sz w:val="32"/>
          <w:szCs w:val="32"/>
        </w:rPr>
      </w:pPr>
      <w:bookmarkStart w:id="63" w:name="_Toc2003525389"/>
      <w:bookmarkStart w:id="64" w:name="_Toc777184539"/>
      <w:bookmarkStart w:id="65" w:name="_Toc1469339131"/>
      <w:r>
        <w:rPr>
          <w:rFonts w:hint="eastAsia" w:ascii="宋体" w:hAnsi="宋体"/>
          <w:sz w:val="32"/>
          <w:szCs w:val="32"/>
        </w:rPr>
        <w:t>从业人员及工资总额</w:t>
      </w:r>
      <w:bookmarkEnd w:id="63"/>
      <w:bookmarkEnd w:id="64"/>
      <w:bookmarkEnd w:id="65"/>
    </w:p>
    <w:tbl>
      <w:tblPr>
        <w:tblStyle w:val="20"/>
        <w:tblW w:w="9356" w:type="dxa"/>
        <w:jc w:val="center"/>
        <w:tblLayout w:type="autofit"/>
        <w:tblCellMar>
          <w:top w:w="0" w:type="dxa"/>
          <w:left w:w="0" w:type="dxa"/>
          <w:bottom w:w="0" w:type="dxa"/>
          <w:right w:w="0" w:type="dxa"/>
        </w:tblCellMar>
      </w:tblPr>
      <w:tblGrid>
        <w:gridCol w:w="6705"/>
        <w:gridCol w:w="910"/>
        <w:gridCol w:w="1741"/>
      </w:tblGrid>
      <w:tr>
        <w:tblPrEx>
          <w:tblCellMar>
            <w:top w:w="0" w:type="dxa"/>
            <w:left w:w="0" w:type="dxa"/>
            <w:bottom w:w="0" w:type="dxa"/>
            <w:right w:w="0" w:type="dxa"/>
          </w:tblCellMar>
        </w:tblPrEx>
        <w:trPr>
          <w:jc w:val="center"/>
        </w:trPr>
        <w:tc>
          <w:tcPr>
            <w:tcW w:w="6705" w:type="dxa"/>
          </w:tcPr>
          <w:p>
            <w:pPr>
              <w:spacing w:line="220" w:lineRule="exact"/>
              <w:rPr>
                <w:rFonts w:ascii="宋体" w:hAnsi="宋体"/>
                <w:sz w:val="18"/>
                <w:szCs w:val="18"/>
              </w:rPr>
            </w:pPr>
          </w:p>
        </w:tc>
        <w:tc>
          <w:tcPr>
            <w:tcW w:w="910" w:type="dxa"/>
            <w:tcMar>
              <w:left w:w="0" w:type="dxa"/>
              <w:right w:w="0" w:type="dxa"/>
            </w:tcMar>
          </w:tcPr>
          <w:p>
            <w:pPr>
              <w:spacing w:line="220" w:lineRule="exact"/>
              <w:rPr>
                <w:rFonts w:ascii="宋体" w:hAnsi="宋体"/>
                <w:sz w:val="18"/>
                <w:szCs w:val="18"/>
              </w:rPr>
            </w:pPr>
            <w:r>
              <w:rPr>
                <w:rFonts w:hint="eastAsia" w:ascii="宋体" w:hAnsi="宋体"/>
                <w:sz w:val="18"/>
                <w:szCs w:val="18"/>
              </w:rPr>
              <w:t>表    号：</w:t>
            </w:r>
          </w:p>
        </w:tc>
        <w:tc>
          <w:tcPr>
            <w:tcW w:w="1741" w:type="dxa"/>
            <w:tcMar>
              <w:left w:w="0" w:type="dxa"/>
              <w:right w:w="0" w:type="dxa"/>
            </w:tcMar>
            <w:vAlign w:val="center"/>
          </w:tcPr>
          <w:p>
            <w:pPr>
              <w:spacing w:line="220" w:lineRule="exact"/>
              <w:jc w:val="distribute"/>
              <w:rPr>
                <w:rFonts w:ascii="宋体" w:hAnsi="宋体"/>
                <w:sz w:val="18"/>
                <w:szCs w:val="18"/>
              </w:rPr>
            </w:pPr>
            <w:r>
              <w:rPr>
                <w:rFonts w:hint="eastAsia" w:ascii="宋体" w:hAnsi="宋体" w:cs="宋体"/>
                <w:sz w:val="18"/>
                <w:szCs w:val="18"/>
              </w:rPr>
              <w:t>I102－2表</w:t>
            </w:r>
          </w:p>
        </w:tc>
      </w:tr>
      <w:tr>
        <w:tblPrEx>
          <w:tblCellMar>
            <w:top w:w="0" w:type="dxa"/>
            <w:left w:w="0" w:type="dxa"/>
            <w:bottom w:w="0" w:type="dxa"/>
            <w:right w:w="0" w:type="dxa"/>
          </w:tblCellMar>
        </w:tblPrEx>
        <w:trPr>
          <w:jc w:val="center"/>
        </w:trPr>
        <w:tc>
          <w:tcPr>
            <w:tcW w:w="6705" w:type="dxa"/>
          </w:tcPr>
          <w:p>
            <w:pPr>
              <w:spacing w:line="220" w:lineRule="exact"/>
              <w:rPr>
                <w:rFonts w:ascii="宋体" w:hAnsi="宋体"/>
                <w:sz w:val="18"/>
                <w:szCs w:val="18"/>
              </w:rPr>
            </w:pPr>
          </w:p>
        </w:tc>
        <w:tc>
          <w:tcPr>
            <w:tcW w:w="910"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制定机关：</w:t>
            </w:r>
          </w:p>
        </w:tc>
        <w:tc>
          <w:tcPr>
            <w:tcW w:w="1741" w:type="dxa"/>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国家统计局</w:t>
            </w:r>
          </w:p>
        </w:tc>
      </w:tr>
      <w:tr>
        <w:tblPrEx>
          <w:tblCellMar>
            <w:top w:w="0" w:type="dxa"/>
            <w:left w:w="0" w:type="dxa"/>
            <w:bottom w:w="0" w:type="dxa"/>
            <w:right w:w="0" w:type="dxa"/>
          </w:tblCellMar>
        </w:tblPrEx>
        <w:trPr>
          <w:jc w:val="center"/>
        </w:trPr>
        <w:tc>
          <w:tcPr>
            <w:tcW w:w="6705" w:type="dxa"/>
          </w:tcPr>
          <w:p>
            <w:pPr>
              <w:spacing w:line="220" w:lineRule="exact"/>
              <w:rPr>
                <w:rFonts w:ascii="宋体" w:hAnsi="宋体"/>
                <w:sz w:val="18"/>
                <w:szCs w:val="18"/>
              </w:rPr>
            </w:pPr>
            <w:r>
              <w:rPr>
                <w:rFonts w:hint="eastAsia" w:ascii="宋体" w:hAnsi="宋体" w:cs="宋体"/>
                <w:sz w:val="18"/>
                <w:szCs w:val="18"/>
              </w:rPr>
              <w:t>统一社会信用代码□□□□□□□□□□□□□□□□□□</w:t>
            </w:r>
          </w:p>
        </w:tc>
        <w:tc>
          <w:tcPr>
            <w:tcW w:w="910"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文    号：</w:t>
            </w:r>
          </w:p>
        </w:tc>
        <w:tc>
          <w:tcPr>
            <w:tcW w:w="1741" w:type="dxa"/>
            <w:tcMar>
              <w:left w:w="0" w:type="dxa"/>
              <w:right w:w="0" w:type="dxa"/>
            </w:tcMar>
            <w:vAlign w:val="center"/>
          </w:tcPr>
          <w:p>
            <w:pPr>
              <w:spacing w:line="220" w:lineRule="exact"/>
              <w:jc w:val="distribute"/>
              <w:rPr>
                <w:rFonts w:ascii="宋体" w:hAnsi="宋体"/>
                <w:color w:val="FF0000"/>
                <w:sz w:val="18"/>
                <w:szCs w:val="18"/>
              </w:rPr>
            </w:pPr>
            <w:r>
              <w:rPr>
                <w:rFonts w:hint="eastAsia" w:ascii="宋体" w:hAnsi="宋体" w:cs="宋体"/>
                <w:sz w:val="18"/>
                <w:szCs w:val="18"/>
              </w:rPr>
              <w:t>国统字〔2024〕77号</w:t>
            </w:r>
          </w:p>
        </w:tc>
      </w:tr>
      <w:tr>
        <w:tblPrEx>
          <w:tblCellMar>
            <w:top w:w="0" w:type="dxa"/>
            <w:left w:w="0" w:type="dxa"/>
            <w:bottom w:w="0" w:type="dxa"/>
            <w:right w:w="0" w:type="dxa"/>
          </w:tblCellMar>
        </w:tblPrEx>
        <w:trPr>
          <w:jc w:val="center"/>
        </w:trPr>
        <w:tc>
          <w:tcPr>
            <w:tcW w:w="6705" w:type="dxa"/>
          </w:tcPr>
          <w:p>
            <w:pPr>
              <w:spacing w:line="220" w:lineRule="exact"/>
              <w:rPr>
                <w:rFonts w:ascii="宋体" w:hAnsi="宋体"/>
                <w:sz w:val="18"/>
                <w:szCs w:val="18"/>
              </w:rPr>
            </w:pPr>
            <w:r>
              <w:rPr>
                <w:rFonts w:hint="eastAsia" w:ascii="宋体"/>
                <w:sz w:val="18"/>
              </w:rPr>
              <w:t>单位详细名称：</w:t>
            </w:r>
            <w:r>
              <w:rPr>
                <w:rFonts w:hint="eastAsia" w:ascii="宋体" w:hAnsi="宋体"/>
                <w:sz w:val="18"/>
                <w:szCs w:val="18"/>
              </w:rPr>
              <w:t>　　　　　　　　　　　　　　　　　</w:t>
            </w:r>
            <w:r>
              <w:rPr>
                <w:rFonts w:hint="eastAsia" w:ascii="宋体" w:hAnsi="宋体" w:cs="宋体"/>
                <w:sz w:val="18"/>
                <w:szCs w:val="18"/>
              </w:rPr>
              <w:t xml:space="preserve">２０ </w:t>
            </w:r>
            <w:r>
              <w:rPr>
                <w:rFonts w:ascii="宋体" w:hAnsi="宋体" w:cs="宋体"/>
                <w:sz w:val="18"/>
                <w:szCs w:val="18"/>
              </w:rPr>
              <w:t xml:space="preserve"> </w:t>
            </w:r>
            <w:r>
              <w:rPr>
                <w:rFonts w:hint="eastAsia" w:ascii="宋体" w:hAnsi="宋体" w:cs="宋体"/>
                <w:sz w:val="18"/>
                <w:szCs w:val="18"/>
              </w:rPr>
              <w:t>年</w:t>
            </w:r>
          </w:p>
        </w:tc>
        <w:tc>
          <w:tcPr>
            <w:tcW w:w="910"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有效期至：</w:t>
            </w:r>
          </w:p>
        </w:tc>
        <w:tc>
          <w:tcPr>
            <w:tcW w:w="1741" w:type="dxa"/>
            <w:tcMar>
              <w:left w:w="0" w:type="dxa"/>
              <w:right w:w="0" w:type="dxa"/>
            </w:tcMar>
            <w:vAlign w:val="center"/>
          </w:tcPr>
          <w:p>
            <w:pPr>
              <w:spacing w:line="220" w:lineRule="exact"/>
              <w:jc w:val="distribute"/>
              <w:rPr>
                <w:rFonts w:ascii="宋体" w:hAnsi="宋体"/>
                <w:color w:val="FF0000"/>
                <w:sz w:val="18"/>
                <w:szCs w:val="18"/>
              </w:rPr>
            </w:pPr>
            <w:r>
              <w:rPr>
                <w:rFonts w:hint="eastAsia" w:ascii="宋体" w:hAnsi="宋体" w:cs="宋体"/>
                <w:sz w:val="18"/>
                <w:szCs w:val="18"/>
              </w:rPr>
              <w:t>2025年6月</w:t>
            </w:r>
          </w:p>
        </w:tc>
      </w:tr>
    </w:tbl>
    <w:p>
      <w:pPr>
        <w:spacing w:line="20" w:lineRule="exact"/>
        <w:rPr>
          <w:rFonts w:ascii="宋体"/>
          <w:sz w:val="18"/>
        </w:rPr>
      </w:pPr>
    </w:p>
    <w:tbl>
      <w:tblPr>
        <w:tblStyle w:val="20"/>
        <w:tblW w:w="9357" w:type="dxa"/>
        <w:jc w:val="center"/>
        <w:tblLayout w:type="autofit"/>
        <w:tblCellMar>
          <w:top w:w="0" w:type="dxa"/>
          <w:left w:w="108" w:type="dxa"/>
          <w:bottom w:w="0" w:type="dxa"/>
          <w:right w:w="108" w:type="dxa"/>
        </w:tblCellMar>
      </w:tblPr>
      <w:tblGrid>
        <w:gridCol w:w="4377"/>
        <w:gridCol w:w="1131"/>
        <w:gridCol w:w="1131"/>
        <w:gridCol w:w="2718"/>
      </w:tblGrid>
      <w:tr>
        <w:tblPrEx>
          <w:tblCellMar>
            <w:top w:w="0" w:type="dxa"/>
            <w:left w:w="108" w:type="dxa"/>
            <w:bottom w:w="0" w:type="dxa"/>
            <w:right w:w="108" w:type="dxa"/>
          </w:tblCellMar>
        </w:tblPrEx>
        <w:trPr>
          <w:trHeight w:val="371" w:hRule="atLeast"/>
          <w:jc w:val="center"/>
        </w:trPr>
        <w:tc>
          <w:tcPr>
            <w:tcW w:w="2338" w:type="pct"/>
            <w:tcBorders>
              <w:top w:val="single" w:color="auto" w:sz="8" w:space="0"/>
              <w:left w:val="nil"/>
              <w:bottom w:val="single" w:color="auto" w:sz="2" w:space="0"/>
              <w:right w:val="single" w:color="auto" w:sz="2" w:space="0"/>
            </w:tcBorders>
            <w:vAlign w:val="center"/>
          </w:tcPr>
          <w:p>
            <w:pPr>
              <w:autoSpaceDE w:val="0"/>
              <w:autoSpaceDN w:val="0"/>
              <w:spacing w:line="280" w:lineRule="exact"/>
              <w:jc w:val="center"/>
              <w:rPr>
                <w:rFonts w:ascii="宋体"/>
                <w:sz w:val="18"/>
              </w:rPr>
            </w:pPr>
            <w:r>
              <w:rPr>
                <w:rFonts w:hint="eastAsia" w:ascii="宋体"/>
                <w:sz w:val="18"/>
              </w:rPr>
              <w:t>指标名称</w:t>
            </w:r>
          </w:p>
        </w:tc>
        <w:tc>
          <w:tcPr>
            <w:tcW w:w="604"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80" w:lineRule="exact"/>
              <w:jc w:val="center"/>
              <w:rPr>
                <w:rFonts w:ascii="宋体"/>
                <w:sz w:val="18"/>
              </w:rPr>
            </w:pPr>
            <w:r>
              <w:rPr>
                <w:rFonts w:hint="eastAsia" w:ascii="宋体"/>
                <w:sz w:val="18"/>
              </w:rPr>
              <w:t>计量单位</w:t>
            </w:r>
          </w:p>
        </w:tc>
        <w:tc>
          <w:tcPr>
            <w:tcW w:w="604" w:type="pct"/>
            <w:tcBorders>
              <w:top w:val="single" w:color="auto" w:sz="8" w:space="0"/>
              <w:left w:val="single" w:color="auto" w:sz="2" w:space="0"/>
              <w:bottom w:val="single" w:color="auto" w:sz="2" w:space="0"/>
              <w:right w:val="single" w:color="auto" w:sz="2" w:space="0"/>
            </w:tcBorders>
            <w:vAlign w:val="center"/>
          </w:tcPr>
          <w:p>
            <w:pPr>
              <w:autoSpaceDE w:val="0"/>
              <w:autoSpaceDN w:val="0"/>
              <w:spacing w:line="280" w:lineRule="exact"/>
              <w:jc w:val="center"/>
              <w:rPr>
                <w:rFonts w:ascii="宋体"/>
                <w:sz w:val="18"/>
              </w:rPr>
            </w:pPr>
            <w:r>
              <w:rPr>
                <w:rFonts w:hint="eastAsia" w:ascii="宋体"/>
                <w:sz w:val="18"/>
              </w:rPr>
              <w:t>代码</w:t>
            </w:r>
          </w:p>
        </w:tc>
        <w:tc>
          <w:tcPr>
            <w:tcW w:w="1452" w:type="pct"/>
            <w:tcBorders>
              <w:top w:val="single" w:color="auto" w:sz="8" w:space="0"/>
              <w:left w:val="single" w:color="auto" w:sz="2" w:space="0"/>
              <w:bottom w:val="single" w:color="auto" w:sz="2" w:space="0"/>
              <w:right w:val="nil"/>
            </w:tcBorders>
            <w:vAlign w:val="center"/>
          </w:tcPr>
          <w:p>
            <w:pPr>
              <w:autoSpaceDE w:val="0"/>
              <w:autoSpaceDN w:val="0"/>
              <w:spacing w:line="280" w:lineRule="exact"/>
              <w:jc w:val="center"/>
              <w:rPr>
                <w:rFonts w:ascii="宋体"/>
                <w:sz w:val="18"/>
              </w:rPr>
            </w:pPr>
            <w:r>
              <w:rPr>
                <w:rFonts w:hint="eastAsia" w:ascii="宋体"/>
                <w:sz w:val="18"/>
              </w:rPr>
              <w:t>本</w:t>
            </w:r>
            <w:r>
              <w:rPr>
                <w:rFonts w:ascii="宋体"/>
                <w:sz w:val="18"/>
              </w:rPr>
              <w:t>年</w:t>
            </w:r>
          </w:p>
        </w:tc>
      </w:tr>
      <w:tr>
        <w:tblPrEx>
          <w:tblCellMar>
            <w:top w:w="0" w:type="dxa"/>
            <w:left w:w="108" w:type="dxa"/>
            <w:bottom w:w="0" w:type="dxa"/>
            <w:right w:w="108" w:type="dxa"/>
          </w:tblCellMar>
        </w:tblPrEx>
        <w:trPr>
          <w:trHeight w:val="284" w:hRule="atLeast"/>
          <w:jc w:val="center"/>
        </w:trPr>
        <w:tc>
          <w:tcPr>
            <w:tcW w:w="4377" w:type="dxa"/>
            <w:tcBorders>
              <w:top w:val="single" w:color="auto" w:sz="2" w:space="0"/>
              <w:left w:val="nil"/>
              <w:bottom w:val="single" w:color="auto" w:sz="2" w:space="0"/>
              <w:right w:val="single" w:color="auto" w:sz="2" w:space="0"/>
            </w:tcBorders>
            <w:vAlign w:val="center"/>
          </w:tcPr>
          <w:p>
            <w:pPr>
              <w:autoSpaceDE w:val="0"/>
              <w:autoSpaceDN w:val="0"/>
              <w:snapToGrid w:val="0"/>
              <w:jc w:val="center"/>
              <w:rPr>
                <w:rFonts w:ascii="宋体"/>
                <w:sz w:val="18"/>
              </w:rPr>
            </w:pPr>
            <w:r>
              <w:rPr>
                <w:rFonts w:hint="eastAsia" w:ascii="宋体"/>
                <w:sz w:val="18"/>
              </w:rPr>
              <w:t>甲</w:t>
            </w:r>
          </w:p>
        </w:tc>
        <w:tc>
          <w:tcPr>
            <w:tcW w:w="1131"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宋体"/>
                <w:sz w:val="18"/>
              </w:rPr>
            </w:pPr>
            <w:r>
              <w:rPr>
                <w:rFonts w:hint="eastAsia" w:ascii="宋体"/>
                <w:sz w:val="18"/>
              </w:rPr>
              <w:t>乙</w:t>
            </w:r>
          </w:p>
        </w:tc>
        <w:tc>
          <w:tcPr>
            <w:tcW w:w="1131" w:type="dxa"/>
            <w:tcBorders>
              <w:top w:val="single" w:color="auto" w:sz="2" w:space="0"/>
              <w:left w:val="single" w:color="auto" w:sz="2" w:space="0"/>
              <w:bottom w:val="single" w:color="auto" w:sz="2" w:space="0"/>
              <w:right w:val="single" w:color="auto" w:sz="2" w:space="0"/>
            </w:tcBorders>
            <w:vAlign w:val="center"/>
          </w:tcPr>
          <w:p>
            <w:pPr>
              <w:autoSpaceDE w:val="0"/>
              <w:autoSpaceDN w:val="0"/>
              <w:snapToGrid w:val="0"/>
              <w:jc w:val="center"/>
              <w:rPr>
                <w:rFonts w:ascii="宋体"/>
                <w:sz w:val="18"/>
              </w:rPr>
            </w:pPr>
            <w:r>
              <w:rPr>
                <w:rFonts w:hint="eastAsia" w:ascii="宋体"/>
                <w:sz w:val="18"/>
              </w:rPr>
              <w:t>丙</w:t>
            </w:r>
          </w:p>
        </w:tc>
        <w:tc>
          <w:tcPr>
            <w:tcW w:w="2718" w:type="dxa"/>
            <w:tcBorders>
              <w:top w:val="single" w:color="auto" w:sz="2" w:space="0"/>
              <w:left w:val="single" w:color="auto" w:sz="2" w:space="0"/>
              <w:bottom w:val="single" w:color="auto" w:sz="2" w:space="0"/>
              <w:right w:val="nil"/>
            </w:tcBorders>
            <w:vAlign w:val="center"/>
          </w:tcPr>
          <w:p>
            <w:pPr>
              <w:autoSpaceDE w:val="0"/>
              <w:autoSpaceDN w:val="0"/>
              <w:snapToGrid w:val="0"/>
              <w:jc w:val="center"/>
              <w:rPr>
                <w:rFonts w:ascii="宋体"/>
                <w:sz w:val="18"/>
              </w:rPr>
            </w:pPr>
            <w:r>
              <w:rPr>
                <w:rFonts w:hint="eastAsia" w:ascii="宋体"/>
                <w:sz w:val="18"/>
              </w:rPr>
              <w:t>1</w:t>
            </w:r>
          </w:p>
        </w:tc>
      </w:tr>
      <w:tr>
        <w:tblPrEx>
          <w:tblCellMar>
            <w:top w:w="0" w:type="dxa"/>
            <w:left w:w="108" w:type="dxa"/>
            <w:bottom w:w="0" w:type="dxa"/>
            <w:right w:w="108" w:type="dxa"/>
          </w:tblCellMar>
        </w:tblPrEx>
        <w:trPr>
          <w:trHeight w:val="8531" w:hRule="atLeast"/>
          <w:jc w:val="center"/>
        </w:trPr>
        <w:tc>
          <w:tcPr>
            <w:tcW w:w="4377" w:type="dxa"/>
            <w:tcBorders>
              <w:top w:val="single" w:color="auto" w:sz="2" w:space="0"/>
              <w:left w:val="nil"/>
              <w:bottom w:val="single" w:color="auto" w:sz="8" w:space="0"/>
              <w:right w:val="single" w:color="auto" w:sz="2" w:space="0"/>
            </w:tcBorders>
          </w:tcPr>
          <w:p>
            <w:pPr>
              <w:autoSpaceDE w:val="0"/>
              <w:autoSpaceDN w:val="0"/>
              <w:adjustRightInd w:val="0"/>
              <w:snapToGrid w:val="0"/>
              <w:spacing w:before="120" w:beforeLines="50" w:line="240" w:lineRule="exact"/>
              <w:jc w:val="left"/>
              <w:rPr>
                <w:rFonts w:ascii="宋体" w:hAnsi="宋体"/>
                <w:sz w:val="18"/>
              </w:rPr>
            </w:pPr>
            <w:r>
              <w:rPr>
                <w:rFonts w:hint="eastAsia" w:ascii="宋体" w:hAnsi="宋体"/>
                <w:sz w:val="18"/>
              </w:rPr>
              <w:t>一、从业人员</w:t>
            </w:r>
          </w:p>
          <w:p>
            <w:pPr>
              <w:autoSpaceDE w:val="0"/>
              <w:autoSpaceDN w:val="0"/>
              <w:adjustRightInd w:val="0"/>
              <w:snapToGrid w:val="0"/>
              <w:spacing w:before="120" w:beforeLines="50" w:line="240" w:lineRule="exact"/>
              <w:jc w:val="left"/>
              <w:rPr>
                <w:rFonts w:ascii="宋体" w:hAnsi="宋体"/>
                <w:sz w:val="18"/>
              </w:rPr>
            </w:pPr>
            <w:r>
              <w:rPr>
                <w:rFonts w:hint="eastAsia" w:ascii="宋体" w:hAnsi="宋体"/>
                <w:sz w:val="18"/>
              </w:rPr>
              <w:t xml:space="preserve">    从业人员期末人数</w:t>
            </w:r>
          </w:p>
          <w:p>
            <w:pPr>
              <w:autoSpaceDE w:val="0"/>
              <w:autoSpaceDN w:val="0"/>
              <w:snapToGrid w:val="0"/>
              <w:spacing w:before="120" w:beforeLines="50" w:line="240" w:lineRule="exact"/>
              <w:jc w:val="left"/>
              <w:rPr>
                <w:rFonts w:ascii="宋体" w:hAnsi="宋体"/>
                <w:sz w:val="18"/>
              </w:rPr>
            </w:pPr>
            <w:r>
              <w:rPr>
                <w:rFonts w:ascii="宋体" w:hAnsi="宋体"/>
                <w:sz w:val="18"/>
              </w:rPr>
              <w:t xml:space="preserve">  </w:t>
            </w:r>
            <w:r>
              <w:rPr>
                <w:rFonts w:hint="eastAsia" w:ascii="宋体" w:hAnsi="宋体"/>
                <w:sz w:val="18"/>
              </w:rPr>
              <w:t xml:space="preserve">    其中：女性        </w:t>
            </w:r>
          </w:p>
          <w:p>
            <w:pPr>
              <w:autoSpaceDE w:val="0"/>
              <w:autoSpaceDN w:val="0"/>
              <w:snapToGrid w:val="0"/>
              <w:spacing w:before="120" w:beforeLines="50" w:line="240" w:lineRule="exact"/>
              <w:ind w:firstLine="360" w:firstLineChars="200"/>
              <w:jc w:val="left"/>
              <w:rPr>
                <w:rFonts w:ascii="宋体" w:hAnsi="宋体"/>
                <w:sz w:val="18"/>
              </w:rPr>
            </w:pPr>
            <w:r>
              <w:rPr>
                <w:rFonts w:hint="eastAsia" w:ascii="宋体" w:hAnsi="宋体"/>
                <w:sz w:val="18"/>
              </w:rPr>
              <w:t>按人员类型分</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在岗职工</w:t>
            </w:r>
          </w:p>
          <w:p>
            <w:pPr>
              <w:autoSpaceDE w:val="0"/>
              <w:autoSpaceDN w:val="0"/>
              <w:snapToGrid w:val="0"/>
              <w:spacing w:before="120" w:beforeLines="50" w:line="240" w:lineRule="exact"/>
              <w:ind w:firstLine="540" w:firstLineChars="300"/>
              <w:jc w:val="left"/>
              <w:rPr>
                <w:rFonts w:ascii="宋体"/>
                <w:sz w:val="18"/>
                <w:szCs w:val="18"/>
              </w:rPr>
            </w:pPr>
            <w:r>
              <w:rPr>
                <w:rFonts w:hint="eastAsia" w:ascii="宋体"/>
                <w:sz w:val="18"/>
                <w:szCs w:val="18"/>
              </w:rPr>
              <w:t>劳务派遣人员</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其他从业人员</w:t>
            </w:r>
          </w:p>
          <w:p>
            <w:pPr>
              <w:autoSpaceDE w:val="0"/>
              <w:autoSpaceDN w:val="0"/>
              <w:snapToGrid w:val="0"/>
              <w:spacing w:before="120" w:beforeLines="50" w:line="240" w:lineRule="exact"/>
              <w:ind w:left="361" w:leftChars="172"/>
              <w:jc w:val="left"/>
              <w:rPr>
                <w:rFonts w:ascii="宋体" w:hAnsi="宋体"/>
                <w:sz w:val="18"/>
              </w:rPr>
            </w:pPr>
            <w:r>
              <w:rPr>
                <w:rFonts w:hint="eastAsia" w:ascii="宋体" w:hAnsi="宋体"/>
                <w:sz w:val="18"/>
              </w:rPr>
              <w:t>从业人员平均人数</w:t>
            </w:r>
          </w:p>
          <w:p>
            <w:pPr>
              <w:autoSpaceDE w:val="0"/>
              <w:autoSpaceDN w:val="0"/>
              <w:snapToGrid w:val="0"/>
              <w:spacing w:before="120" w:beforeLines="50" w:line="240" w:lineRule="exact"/>
              <w:ind w:firstLine="360" w:firstLineChars="200"/>
              <w:jc w:val="left"/>
              <w:rPr>
                <w:rFonts w:ascii="宋体" w:hAnsi="宋体"/>
                <w:sz w:val="18"/>
              </w:rPr>
            </w:pPr>
            <w:r>
              <w:rPr>
                <w:rFonts w:hint="eastAsia" w:ascii="宋体" w:hAnsi="宋体"/>
                <w:sz w:val="18"/>
              </w:rPr>
              <w:t>按人员类型分</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在岗职工</w:t>
            </w:r>
            <w:r>
              <w:rPr>
                <w:rFonts w:hint="eastAsia" w:ascii="宋体"/>
                <w:sz w:val="18"/>
                <w:szCs w:val="18"/>
              </w:rPr>
              <w:t xml:space="preserve"> </w:t>
            </w:r>
          </w:p>
          <w:p>
            <w:pPr>
              <w:autoSpaceDE w:val="0"/>
              <w:autoSpaceDN w:val="0"/>
              <w:snapToGrid w:val="0"/>
              <w:spacing w:before="120" w:beforeLines="50" w:line="240" w:lineRule="exact"/>
              <w:jc w:val="left"/>
              <w:rPr>
                <w:rFonts w:ascii="宋体"/>
                <w:sz w:val="18"/>
                <w:szCs w:val="18"/>
              </w:rPr>
            </w:pPr>
            <w:r>
              <w:rPr>
                <w:rFonts w:hint="eastAsia" w:ascii="宋体"/>
                <w:sz w:val="18"/>
                <w:szCs w:val="18"/>
              </w:rPr>
              <w:t xml:space="preserve">      劳务派遣人员</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其他从业人员</w:t>
            </w:r>
          </w:p>
          <w:p>
            <w:pPr>
              <w:autoSpaceDE w:val="0"/>
              <w:autoSpaceDN w:val="0"/>
              <w:snapToGrid w:val="0"/>
              <w:spacing w:before="120" w:beforeLines="50" w:line="240" w:lineRule="exact"/>
              <w:jc w:val="left"/>
              <w:rPr>
                <w:rFonts w:ascii="宋体" w:hAnsi="宋体"/>
                <w:sz w:val="18"/>
              </w:rPr>
            </w:pPr>
            <w:r>
              <w:rPr>
                <w:rFonts w:hint="eastAsia" w:ascii="宋体" w:hAnsi="宋体"/>
                <w:sz w:val="18"/>
              </w:rPr>
              <w:t>二、工资总额</w:t>
            </w:r>
          </w:p>
          <w:p>
            <w:pPr>
              <w:autoSpaceDE w:val="0"/>
              <w:autoSpaceDN w:val="0"/>
              <w:snapToGrid w:val="0"/>
              <w:spacing w:before="120" w:beforeLines="50" w:line="240" w:lineRule="exact"/>
              <w:ind w:firstLine="360" w:firstLineChars="200"/>
              <w:jc w:val="left"/>
              <w:rPr>
                <w:rFonts w:ascii="宋体" w:hAnsi="宋体"/>
                <w:sz w:val="18"/>
              </w:rPr>
            </w:pPr>
            <w:r>
              <w:rPr>
                <w:rFonts w:hint="eastAsia" w:ascii="宋体" w:hAnsi="宋体"/>
                <w:sz w:val="18"/>
              </w:rPr>
              <w:t>从业人员工资总额</w:t>
            </w:r>
          </w:p>
          <w:p>
            <w:pPr>
              <w:autoSpaceDE w:val="0"/>
              <w:autoSpaceDN w:val="0"/>
              <w:snapToGrid w:val="0"/>
              <w:spacing w:before="120" w:beforeLines="50" w:line="240" w:lineRule="exact"/>
              <w:ind w:firstLine="360" w:firstLineChars="200"/>
              <w:jc w:val="left"/>
              <w:rPr>
                <w:rFonts w:ascii="宋体" w:hAnsi="宋体"/>
                <w:sz w:val="18"/>
              </w:rPr>
            </w:pPr>
            <w:r>
              <w:rPr>
                <w:rFonts w:hint="eastAsia" w:ascii="宋体" w:hAnsi="宋体"/>
                <w:sz w:val="18"/>
              </w:rPr>
              <w:t>按人员类型分</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在岗职工</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劳务派遣人员</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rPr>
              <w:t>其他从业人员</w:t>
            </w:r>
          </w:p>
          <w:p>
            <w:pPr>
              <w:autoSpaceDE w:val="0"/>
              <w:autoSpaceDN w:val="0"/>
              <w:snapToGrid w:val="0"/>
              <w:spacing w:before="120" w:beforeLines="50" w:line="240" w:lineRule="exact"/>
              <w:jc w:val="left"/>
              <w:rPr>
                <w:rFonts w:ascii="宋体" w:hAnsi="宋体"/>
                <w:sz w:val="18"/>
                <w:shd w:val="clear" w:color="FFFFFF" w:fill="D9D9D9"/>
              </w:rPr>
            </w:pPr>
            <w:r>
              <w:rPr>
                <w:rFonts w:hint="eastAsia" w:ascii="宋体" w:hAnsi="宋体"/>
                <w:sz w:val="18"/>
                <w:shd w:val="clear" w:color="FFFFFF" w:fill="D9D9D9"/>
              </w:rPr>
              <w:t>三、平均工资</w:t>
            </w:r>
          </w:p>
          <w:p>
            <w:pPr>
              <w:autoSpaceDE w:val="0"/>
              <w:autoSpaceDN w:val="0"/>
              <w:snapToGrid w:val="0"/>
              <w:spacing w:before="120" w:beforeLines="50" w:line="240" w:lineRule="exact"/>
              <w:ind w:firstLine="360" w:firstLineChars="200"/>
              <w:jc w:val="left"/>
              <w:rPr>
                <w:rFonts w:ascii="宋体" w:hAnsi="宋体"/>
                <w:sz w:val="18"/>
                <w:shd w:val="clear" w:color="FFFFFF" w:fill="D9D9D9"/>
              </w:rPr>
            </w:pPr>
            <w:r>
              <w:rPr>
                <w:rFonts w:hint="eastAsia" w:ascii="宋体" w:hAnsi="宋体"/>
                <w:sz w:val="18"/>
                <w:shd w:val="clear" w:color="FFFFFF" w:fill="D9D9D9"/>
              </w:rPr>
              <w:t>从业人员平均工资</w:t>
            </w:r>
          </w:p>
          <w:p>
            <w:pPr>
              <w:autoSpaceDE w:val="0"/>
              <w:autoSpaceDN w:val="0"/>
              <w:snapToGrid w:val="0"/>
              <w:spacing w:before="120" w:beforeLines="50" w:line="240" w:lineRule="exact"/>
              <w:ind w:firstLine="360" w:firstLineChars="200"/>
              <w:jc w:val="left"/>
              <w:rPr>
                <w:rFonts w:ascii="宋体" w:hAnsi="宋体"/>
                <w:sz w:val="18"/>
                <w:shd w:val="clear" w:color="FFFFFF" w:fill="D9D9D9"/>
              </w:rPr>
            </w:pPr>
            <w:r>
              <w:rPr>
                <w:rFonts w:hint="eastAsia" w:ascii="宋体" w:hAnsi="宋体"/>
                <w:sz w:val="18"/>
                <w:shd w:val="clear" w:color="FFFFFF" w:fill="D9D9D9"/>
              </w:rPr>
              <w:t>按人员类型分</w:t>
            </w:r>
          </w:p>
          <w:p>
            <w:pPr>
              <w:autoSpaceDE w:val="0"/>
              <w:autoSpaceDN w:val="0"/>
              <w:snapToGrid w:val="0"/>
              <w:spacing w:before="120" w:beforeLines="50" w:line="240" w:lineRule="exact"/>
              <w:ind w:firstLine="540" w:firstLineChars="300"/>
              <w:jc w:val="left"/>
              <w:rPr>
                <w:rFonts w:ascii="宋体" w:hAnsi="宋体"/>
                <w:sz w:val="18"/>
                <w:shd w:val="clear" w:color="FFFFFF" w:fill="D9D9D9"/>
              </w:rPr>
            </w:pPr>
            <w:r>
              <w:rPr>
                <w:rFonts w:hint="eastAsia" w:ascii="宋体" w:hAnsi="宋体"/>
                <w:sz w:val="18"/>
                <w:shd w:val="clear" w:color="FFFFFF" w:fill="D9D9D9"/>
              </w:rPr>
              <w:t>在岗职工</w:t>
            </w:r>
          </w:p>
          <w:p>
            <w:pPr>
              <w:autoSpaceDE w:val="0"/>
              <w:autoSpaceDN w:val="0"/>
              <w:snapToGrid w:val="0"/>
              <w:spacing w:before="120" w:beforeLines="50" w:line="240" w:lineRule="exact"/>
              <w:ind w:firstLine="540" w:firstLineChars="300"/>
              <w:jc w:val="left"/>
              <w:rPr>
                <w:rFonts w:ascii="宋体" w:hAnsi="宋体"/>
                <w:sz w:val="18"/>
                <w:shd w:val="clear" w:color="FFFFFF" w:fill="D9D9D9"/>
              </w:rPr>
            </w:pPr>
            <w:r>
              <w:rPr>
                <w:rFonts w:hint="eastAsia" w:ascii="宋体" w:hAnsi="宋体"/>
                <w:sz w:val="18"/>
                <w:shd w:val="clear" w:color="FFFFFF" w:fill="D9D9D9"/>
              </w:rPr>
              <w:t>劳务派遣人员</w:t>
            </w:r>
          </w:p>
          <w:p>
            <w:pPr>
              <w:autoSpaceDE w:val="0"/>
              <w:autoSpaceDN w:val="0"/>
              <w:snapToGrid w:val="0"/>
              <w:spacing w:before="120" w:beforeLines="50" w:line="240" w:lineRule="exact"/>
              <w:ind w:firstLine="540" w:firstLineChars="300"/>
              <w:jc w:val="left"/>
              <w:rPr>
                <w:rFonts w:ascii="宋体" w:hAnsi="宋体"/>
                <w:sz w:val="18"/>
              </w:rPr>
            </w:pPr>
            <w:r>
              <w:rPr>
                <w:rFonts w:hint="eastAsia" w:ascii="宋体" w:hAnsi="宋体"/>
                <w:sz w:val="18"/>
                <w:shd w:val="clear" w:color="FFFFFF" w:fill="D9D9D9"/>
              </w:rPr>
              <w:t>其他从业人员</w:t>
            </w:r>
          </w:p>
        </w:tc>
        <w:tc>
          <w:tcPr>
            <w:tcW w:w="1131" w:type="dxa"/>
            <w:tcBorders>
              <w:top w:val="single" w:color="auto" w:sz="2" w:space="0"/>
              <w:left w:val="single" w:color="auto" w:sz="2" w:space="0"/>
              <w:bottom w:val="single" w:color="auto" w:sz="8" w:space="0"/>
              <w:right w:val="single" w:color="auto" w:sz="2" w:space="0"/>
            </w:tcBorders>
          </w:tcPr>
          <w:p>
            <w:pPr>
              <w:autoSpaceDE w:val="0"/>
              <w:autoSpaceDN w:val="0"/>
              <w:snapToGrid w:val="0"/>
              <w:spacing w:before="120" w:beforeLines="50" w:line="240" w:lineRule="exact"/>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人</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千元</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千元</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千元</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千元</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元</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元</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元</w:t>
            </w:r>
          </w:p>
          <w:p>
            <w:pPr>
              <w:autoSpaceDE w:val="0"/>
              <w:autoSpaceDN w:val="0"/>
              <w:snapToGrid w:val="0"/>
              <w:spacing w:before="120" w:beforeLines="50" w:line="240" w:lineRule="exact"/>
              <w:jc w:val="center"/>
              <w:rPr>
                <w:rFonts w:ascii="宋体" w:hAnsi="宋体"/>
                <w:sz w:val="18"/>
              </w:rPr>
            </w:pPr>
            <w:r>
              <w:rPr>
                <w:rFonts w:hint="eastAsia" w:ascii="宋体" w:hAnsi="宋体"/>
                <w:sz w:val="18"/>
                <w:shd w:val="clear" w:color="FFFFFF" w:fill="D9D9D9"/>
              </w:rPr>
              <w:t>元</w:t>
            </w:r>
          </w:p>
        </w:tc>
        <w:tc>
          <w:tcPr>
            <w:tcW w:w="1131" w:type="dxa"/>
            <w:tcBorders>
              <w:top w:val="single" w:color="auto" w:sz="2" w:space="0"/>
              <w:left w:val="single" w:color="auto" w:sz="2" w:space="0"/>
              <w:bottom w:val="single" w:color="auto" w:sz="8" w:space="0"/>
              <w:right w:val="single" w:color="auto" w:sz="2" w:space="0"/>
            </w:tcBorders>
            <w:vAlign w:val="center"/>
          </w:tcPr>
          <w:p>
            <w:pPr>
              <w:snapToGrid w:val="0"/>
              <w:spacing w:before="120" w:beforeLines="50" w:line="240" w:lineRule="exact"/>
              <w:jc w:val="center"/>
              <w:rPr>
                <w:rFonts w:ascii="宋体" w:hAnsi="宋体"/>
                <w:sz w:val="18"/>
                <w:szCs w:val="18"/>
              </w:rPr>
            </w:pPr>
            <w:r>
              <w:rPr>
                <w:rFonts w:hint="eastAsia" w:ascii="宋体" w:hAnsi="宋体"/>
                <w:sz w:val="18"/>
                <w:szCs w:val="18"/>
              </w:rPr>
              <w:t>—</w:t>
            </w:r>
          </w:p>
          <w:p>
            <w:pPr>
              <w:snapToGrid w:val="0"/>
              <w:spacing w:before="120" w:beforeLines="50" w:line="240" w:lineRule="exact"/>
              <w:jc w:val="center"/>
              <w:rPr>
                <w:rFonts w:ascii="宋体" w:hAnsi="宋体"/>
                <w:sz w:val="18"/>
                <w:szCs w:val="18"/>
              </w:rPr>
            </w:pPr>
            <w:r>
              <w:rPr>
                <w:rFonts w:ascii="宋体" w:hAnsi="宋体"/>
                <w:sz w:val="18"/>
                <w:szCs w:val="18"/>
              </w:rPr>
              <w:t>01</w:t>
            </w:r>
          </w:p>
          <w:p>
            <w:pPr>
              <w:snapToGrid w:val="0"/>
              <w:spacing w:before="120" w:beforeLines="50" w:line="240" w:lineRule="exact"/>
              <w:jc w:val="center"/>
              <w:rPr>
                <w:rFonts w:ascii="宋体" w:hAnsi="宋体"/>
                <w:sz w:val="18"/>
                <w:szCs w:val="18"/>
              </w:rPr>
            </w:pPr>
            <w:r>
              <w:rPr>
                <w:rFonts w:ascii="宋体" w:hAnsi="宋体"/>
                <w:sz w:val="18"/>
                <w:szCs w:val="18"/>
              </w:rPr>
              <w:t>02</w:t>
            </w:r>
          </w:p>
          <w:p>
            <w:pPr>
              <w:snapToGrid w:val="0"/>
              <w:spacing w:before="120" w:beforeLines="50" w:line="240" w:lineRule="exact"/>
              <w:jc w:val="center"/>
              <w:rPr>
                <w:rFonts w:ascii="宋体" w:hAnsi="宋体"/>
                <w:sz w:val="18"/>
                <w:szCs w:val="18"/>
              </w:rPr>
            </w:pPr>
            <w:r>
              <w:rPr>
                <w:rFonts w:hint="eastAsia" w:ascii="宋体" w:hAnsi="宋体"/>
                <w:sz w:val="18"/>
                <w:szCs w:val="18"/>
              </w:rPr>
              <w:t>—</w:t>
            </w:r>
          </w:p>
          <w:p>
            <w:pPr>
              <w:snapToGrid w:val="0"/>
              <w:spacing w:before="120" w:beforeLines="50" w:line="240" w:lineRule="exact"/>
              <w:jc w:val="center"/>
              <w:rPr>
                <w:rFonts w:ascii="宋体" w:hAnsi="宋体"/>
                <w:sz w:val="18"/>
                <w:szCs w:val="18"/>
              </w:rPr>
            </w:pPr>
            <w:r>
              <w:rPr>
                <w:rFonts w:ascii="宋体" w:hAnsi="宋体"/>
                <w:sz w:val="18"/>
                <w:szCs w:val="18"/>
              </w:rPr>
              <w:t>05</w:t>
            </w:r>
          </w:p>
          <w:p>
            <w:pPr>
              <w:snapToGrid w:val="0"/>
              <w:spacing w:before="120" w:beforeLines="50" w:line="240" w:lineRule="exact"/>
              <w:jc w:val="center"/>
              <w:rPr>
                <w:rFonts w:ascii="宋体" w:hAnsi="宋体"/>
                <w:sz w:val="18"/>
                <w:szCs w:val="18"/>
              </w:rPr>
            </w:pPr>
            <w:r>
              <w:rPr>
                <w:rFonts w:ascii="宋体" w:hAnsi="宋体"/>
                <w:sz w:val="18"/>
                <w:szCs w:val="18"/>
              </w:rPr>
              <w:t>06</w:t>
            </w:r>
          </w:p>
          <w:p>
            <w:pPr>
              <w:snapToGrid w:val="0"/>
              <w:spacing w:before="120" w:beforeLines="50" w:line="240" w:lineRule="exact"/>
              <w:jc w:val="center"/>
              <w:rPr>
                <w:rFonts w:ascii="宋体" w:hAnsi="宋体"/>
                <w:sz w:val="18"/>
                <w:szCs w:val="18"/>
              </w:rPr>
            </w:pPr>
            <w:r>
              <w:rPr>
                <w:rFonts w:ascii="宋体" w:hAnsi="宋体"/>
                <w:sz w:val="18"/>
                <w:szCs w:val="18"/>
              </w:rPr>
              <w:t>07</w:t>
            </w:r>
          </w:p>
          <w:p>
            <w:pPr>
              <w:snapToGrid w:val="0"/>
              <w:spacing w:before="120" w:beforeLines="50" w:line="240" w:lineRule="exact"/>
              <w:jc w:val="center"/>
              <w:rPr>
                <w:rFonts w:ascii="宋体" w:hAnsi="宋体"/>
                <w:sz w:val="18"/>
                <w:szCs w:val="18"/>
              </w:rPr>
            </w:pPr>
            <w:r>
              <w:rPr>
                <w:rFonts w:hint="eastAsia" w:ascii="宋体" w:hAnsi="宋体"/>
                <w:sz w:val="18"/>
                <w:szCs w:val="18"/>
              </w:rPr>
              <w:t>08</w:t>
            </w:r>
          </w:p>
          <w:p>
            <w:pPr>
              <w:snapToGrid w:val="0"/>
              <w:spacing w:before="120" w:beforeLines="50" w:line="240" w:lineRule="exact"/>
              <w:jc w:val="center"/>
              <w:rPr>
                <w:rFonts w:ascii="宋体" w:hAnsi="宋体"/>
                <w:sz w:val="18"/>
                <w:szCs w:val="18"/>
              </w:rPr>
            </w:pPr>
            <w:r>
              <w:rPr>
                <w:rFonts w:hint="eastAsia" w:ascii="宋体" w:hAnsi="宋体"/>
                <w:sz w:val="18"/>
                <w:szCs w:val="18"/>
              </w:rPr>
              <w:t>—</w:t>
            </w:r>
          </w:p>
          <w:p>
            <w:pPr>
              <w:snapToGrid w:val="0"/>
              <w:spacing w:before="120" w:beforeLines="50" w:line="240" w:lineRule="exact"/>
              <w:jc w:val="center"/>
              <w:rPr>
                <w:rFonts w:ascii="宋体" w:hAnsi="宋体"/>
                <w:sz w:val="18"/>
                <w:szCs w:val="18"/>
              </w:rPr>
            </w:pPr>
            <w:r>
              <w:rPr>
                <w:rFonts w:ascii="宋体" w:hAnsi="宋体"/>
                <w:sz w:val="18"/>
                <w:szCs w:val="18"/>
              </w:rPr>
              <w:t>09</w:t>
            </w:r>
          </w:p>
          <w:p>
            <w:pPr>
              <w:snapToGrid w:val="0"/>
              <w:spacing w:before="120" w:beforeLines="50" w:line="240" w:lineRule="exact"/>
              <w:ind w:hanging="8"/>
              <w:jc w:val="center"/>
              <w:rPr>
                <w:rFonts w:ascii="宋体" w:hAnsi="宋体"/>
                <w:sz w:val="18"/>
                <w:szCs w:val="18"/>
              </w:rPr>
            </w:pPr>
            <w:r>
              <w:rPr>
                <w:rFonts w:hint="eastAsia" w:ascii="宋体" w:hAnsi="宋体"/>
                <w:sz w:val="18"/>
                <w:szCs w:val="18"/>
              </w:rPr>
              <w:t>10</w:t>
            </w:r>
          </w:p>
          <w:p>
            <w:pPr>
              <w:snapToGrid w:val="0"/>
              <w:spacing w:before="120" w:beforeLines="50" w:line="240" w:lineRule="exact"/>
              <w:ind w:hanging="8"/>
              <w:jc w:val="center"/>
              <w:rPr>
                <w:rFonts w:ascii="宋体" w:hAnsi="宋体"/>
                <w:sz w:val="18"/>
                <w:szCs w:val="18"/>
              </w:rPr>
            </w:pPr>
            <w:r>
              <w:rPr>
                <w:rFonts w:hint="eastAsia" w:ascii="宋体" w:hAnsi="宋体"/>
                <w:sz w:val="18"/>
                <w:szCs w:val="18"/>
              </w:rPr>
              <w:t>11</w:t>
            </w:r>
          </w:p>
          <w:p>
            <w:pPr>
              <w:autoSpaceDE w:val="0"/>
              <w:autoSpaceDN w:val="0"/>
              <w:snapToGrid w:val="0"/>
              <w:spacing w:before="120" w:beforeLines="50" w:line="240" w:lineRule="exact"/>
              <w:ind w:firstLine="90" w:firstLineChars="50"/>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ascii="宋体" w:hAnsi="宋体"/>
                <w:sz w:val="18"/>
              </w:rPr>
              <w:t>12</w:t>
            </w:r>
          </w:p>
          <w:p>
            <w:pPr>
              <w:autoSpaceDE w:val="0"/>
              <w:autoSpaceDN w:val="0"/>
              <w:snapToGrid w:val="0"/>
              <w:spacing w:before="120" w:beforeLines="50" w:line="240" w:lineRule="exact"/>
              <w:jc w:val="center"/>
              <w:rPr>
                <w:rFonts w:ascii="宋体" w:hAnsi="宋体"/>
                <w:sz w:val="18"/>
              </w:rPr>
            </w:pPr>
            <w:r>
              <w:rPr>
                <w:rFonts w:hint="eastAsia" w:ascii="宋体" w:hAnsi="宋体"/>
                <w:sz w:val="18"/>
              </w:rPr>
              <w:t>—</w:t>
            </w:r>
          </w:p>
          <w:p>
            <w:pPr>
              <w:autoSpaceDE w:val="0"/>
              <w:autoSpaceDN w:val="0"/>
              <w:snapToGrid w:val="0"/>
              <w:spacing w:before="120" w:beforeLines="50" w:line="240" w:lineRule="exact"/>
              <w:jc w:val="center"/>
              <w:rPr>
                <w:rFonts w:ascii="宋体" w:hAnsi="宋体"/>
                <w:sz w:val="18"/>
              </w:rPr>
            </w:pPr>
            <w:r>
              <w:rPr>
                <w:rFonts w:ascii="宋体" w:hAnsi="宋体"/>
                <w:sz w:val="18"/>
              </w:rPr>
              <w:t>13</w:t>
            </w:r>
          </w:p>
          <w:p>
            <w:pPr>
              <w:autoSpaceDE w:val="0"/>
              <w:autoSpaceDN w:val="0"/>
              <w:snapToGrid w:val="0"/>
              <w:spacing w:before="120" w:beforeLines="50" w:line="240" w:lineRule="exact"/>
              <w:jc w:val="center"/>
              <w:rPr>
                <w:rFonts w:ascii="宋体" w:hAnsi="宋体"/>
                <w:sz w:val="18"/>
              </w:rPr>
            </w:pPr>
            <w:r>
              <w:rPr>
                <w:rFonts w:ascii="宋体" w:hAnsi="宋体"/>
                <w:sz w:val="18"/>
              </w:rPr>
              <w:t>18</w:t>
            </w:r>
          </w:p>
          <w:p>
            <w:pPr>
              <w:snapToGrid w:val="0"/>
              <w:spacing w:before="120" w:beforeLines="50" w:line="240" w:lineRule="exact"/>
              <w:ind w:hanging="8"/>
              <w:jc w:val="center"/>
              <w:rPr>
                <w:rFonts w:ascii="宋体" w:hAnsi="宋体"/>
                <w:sz w:val="18"/>
              </w:rPr>
            </w:pPr>
            <w:r>
              <w:rPr>
                <w:rFonts w:hint="eastAsia" w:ascii="宋体" w:hAnsi="宋体"/>
                <w:sz w:val="18"/>
              </w:rPr>
              <w:t>19</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20</w:t>
            </w:r>
          </w:p>
          <w:p>
            <w:pPr>
              <w:autoSpaceDE w:val="0"/>
              <w:autoSpaceDN w:val="0"/>
              <w:snapToGrid w:val="0"/>
              <w:spacing w:before="120" w:beforeLines="50" w:line="240" w:lineRule="exact"/>
              <w:jc w:val="center"/>
              <w:rPr>
                <w:rFonts w:ascii="宋体" w:hAnsi="宋体"/>
                <w:sz w:val="18"/>
                <w:shd w:val="clear" w:color="FFFFFF" w:fill="D9D9D9"/>
              </w:rPr>
            </w:pPr>
            <w:r>
              <w:rPr>
                <w:rFonts w:hint="eastAsia" w:ascii="宋体" w:hAnsi="宋体"/>
                <w:sz w:val="18"/>
                <w:shd w:val="clear" w:color="FFFFFF" w:fill="D9D9D9"/>
              </w:rPr>
              <w:t>—</w:t>
            </w:r>
          </w:p>
          <w:p>
            <w:pPr>
              <w:snapToGrid w:val="0"/>
              <w:spacing w:before="120" w:beforeLines="50" w:line="240" w:lineRule="exact"/>
              <w:ind w:hanging="8"/>
              <w:jc w:val="center"/>
              <w:rPr>
                <w:rFonts w:ascii="宋体" w:hAnsi="宋体"/>
                <w:sz w:val="18"/>
                <w:shd w:val="clear" w:color="FFFFFF" w:fill="D9D9D9"/>
              </w:rPr>
            </w:pPr>
            <w:r>
              <w:rPr>
                <w:rFonts w:hint="eastAsia" w:ascii="宋体" w:hAnsi="宋体"/>
                <w:sz w:val="18"/>
                <w:shd w:val="clear" w:color="FFFFFF" w:fill="D9D9D9"/>
              </w:rPr>
              <w:t>21</w:t>
            </w:r>
          </w:p>
          <w:p>
            <w:pPr>
              <w:snapToGrid w:val="0"/>
              <w:spacing w:before="120" w:beforeLines="50" w:line="240" w:lineRule="exact"/>
              <w:ind w:hanging="8"/>
              <w:jc w:val="center"/>
              <w:rPr>
                <w:rFonts w:ascii="宋体" w:hAnsi="宋体"/>
                <w:sz w:val="18"/>
                <w:shd w:val="clear" w:color="FFFFFF" w:fill="D9D9D9"/>
              </w:rPr>
            </w:pPr>
            <w:r>
              <w:rPr>
                <w:rFonts w:hint="eastAsia" w:ascii="宋体" w:hAnsi="宋体"/>
                <w:sz w:val="18"/>
                <w:shd w:val="clear" w:color="FFFFFF" w:fill="D9D9D9"/>
              </w:rPr>
              <w:t>22</w:t>
            </w:r>
          </w:p>
          <w:p>
            <w:pPr>
              <w:snapToGrid w:val="0"/>
              <w:spacing w:before="120" w:beforeLines="50" w:line="240" w:lineRule="exact"/>
              <w:ind w:hanging="8"/>
              <w:jc w:val="center"/>
              <w:rPr>
                <w:rFonts w:ascii="宋体" w:hAnsi="宋体"/>
                <w:sz w:val="18"/>
              </w:rPr>
            </w:pPr>
            <w:r>
              <w:rPr>
                <w:rFonts w:hint="eastAsia" w:ascii="宋体" w:hAnsi="宋体"/>
                <w:sz w:val="18"/>
                <w:shd w:val="clear" w:color="FFFFFF" w:fill="D9D9D9"/>
              </w:rPr>
              <w:t>23</w:t>
            </w:r>
          </w:p>
        </w:tc>
        <w:tc>
          <w:tcPr>
            <w:tcW w:w="2718" w:type="dxa"/>
            <w:tcBorders>
              <w:top w:val="single" w:color="auto" w:sz="2" w:space="0"/>
              <w:left w:val="single" w:color="auto" w:sz="2" w:space="0"/>
              <w:bottom w:val="single" w:color="auto" w:sz="8" w:space="0"/>
              <w:right w:val="nil"/>
            </w:tcBorders>
          </w:tcPr>
          <w:p>
            <w:pPr>
              <w:snapToGrid w:val="0"/>
              <w:spacing w:before="120" w:beforeLines="50"/>
              <w:rPr>
                <w:rFonts w:ascii="宋体"/>
                <w:sz w:val="18"/>
              </w:rPr>
            </w:pPr>
          </w:p>
        </w:tc>
      </w:tr>
    </w:tbl>
    <w:p>
      <w:pPr>
        <w:kinsoku/>
        <w:overflowPunct/>
        <w:adjustRightInd/>
        <w:snapToGrid/>
        <w:spacing w:line="260" w:lineRule="exact"/>
        <w:ind w:left="0" w:leftChars="0" w:right="-55" w:rightChars="-26" w:firstLine="0" w:firstLineChars="0"/>
        <w:rPr>
          <w:rFonts w:ascii="宋体" w:hAnsi="宋体" w:cs="宋体"/>
          <w:bCs/>
          <w:kern w:val="0"/>
          <w:sz w:val="18"/>
          <w:szCs w:val="18"/>
        </w:rPr>
      </w:pPr>
      <w:r>
        <w:rPr>
          <w:rFonts w:hint="eastAsia" w:ascii="宋体" w:hAnsi="宋体" w:cs="宋体"/>
          <w:bCs/>
          <w:kern w:val="0"/>
          <w:sz w:val="18"/>
          <w:szCs w:val="18"/>
        </w:rPr>
        <w:t xml:space="preserve">单位负责人：      统计负责人：       填表人：       </w:t>
      </w:r>
      <w:r>
        <w:rPr>
          <w:rFonts w:ascii="宋体" w:hAnsi="宋体" w:cs="宋体"/>
          <w:bCs/>
          <w:kern w:val="0"/>
          <w:sz w:val="18"/>
          <w:szCs w:val="18"/>
        </w:rPr>
        <w:t>联系电话</w:t>
      </w:r>
      <w:r>
        <w:rPr>
          <w:rFonts w:hint="eastAsia" w:ascii="宋体" w:hAnsi="宋体" w:cs="宋体"/>
          <w:bCs/>
          <w:kern w:val="0"/>
          <w:sz w:val="18"/>
          <w:szCs w:val="18"/>
        </w:rPr>
        <w:t>：</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w:t>
      </w:r>
      <w:r>
        <w:rPr>
          <w:rFonts w:ascii="宋体" w:hAnsi="宋体"/>
          <w:bCs/>
          <w:sz w:val="18"/>
          <w:szCs w:val="18"/>
        </w:rPr>
        <w:t xml:space="preserve"> </w:t>
      </w:r>
      <w:r>
        <w:rPr>
          <w:rFonts w:hint="eastAsia" w:ascii="宋体" w:hAnsi="宋体" w:cs="宋体"/>
          <w:bCs/>
          <w:kern w:val="0"/>
          <w:sz w:val="18"/>
          <w:szCs w:val="18"/>
        </w:rPr>
        <w:t xml:space="preserve">    报出日期：</w:t>
      </w:r>
      <w:r>
        <w:rPr>
          <w:rFonts w:hint="eastAsia" w:ascii="宋体" w:hAnsi="宋体" w:cs="宋体"/>
          <w:kern w:val="0"/>
          <w:sz w:val="18"/>
          <w:szCs w:val="18"/>
        </w:rPr>
        <w:t>2</w:t>
      </w:r>
      <w:r>
        <w:rPr>
          <w:rFonts w:ascii="宋体" w:hAnsi="宋体" w:cs="宋体"/>
          <w:kern w:val="0"/>
          <w:sz w:val="18"/>
          <w:szCs w:val="18"/>
        </w:rPr>
        <w:t xml:space="preserve"> 0</w:t>
      </w:r>
      <w:r>
        <w:rPr>
          <w:rFonts w:hint="eastAsia" w:ascii="宋体" w:hAnsi="宋体" w:cs="宋体"/>
          <w:bCs/>
          <w:kern w:val="0"/>
          <w:sz w:val="18"/>
          <w:szCs w:val="18"/>
        </w:rPr>
        <w:t xml:space="preserve">   年   月   日</w:t>
      </w:r>
    </w:p>
    <w:p>
      <w:pPr>
        <w:kinsoku w:val="0"/>
        <w:overflowPunct w:val="0"/>
        <w:adjustRightInd w:val="0"/>
        <w:snapToGrid w:val="0"/>
        <w:spacing w:line="260" w:lineRule="exact"/>
        <w:ind w:left="1619" w:leftChars="-1" w:hanging="1621" w:hangingChars="901"/>
        <w:rPr>
          <w:rFonts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辖区内除规模以上工业、有资质的建筑业、限额以上批发和零售业、限额以上住宿和餐饮业、有开发经营活动的全部房地产开发经营业、规模以上服务业法人单位</w:t>
      </w:r>
      <w:r>
        <w:rPr>
          <w:rFonts w:hint="eastAsia" w:ascii="宋体" w:hAnsi="宋体"/>
          <w:spacing w:val="2"/>
          <w:sz w:val="18"/>
          <w:szCs w:val="18"/>
        </w:rPr>
        <w:t>以及机关、事业法人单位</w:t>
      </w:r>
      <w:r>
        <w:rPr>
          <w:rFonts w:hint="eastAsia" w:ascii="宋体" w:hAnsi="宋体"/>
          <w:color w:val="000000"/>
          <w:sz w:val="18"/>
          <w:szCs w:val="18"/>
        </w:rPr>
        <w:t>以外的抽中样本单位。</w:t>
      </w:r>
    </w:p>
    <w:p>
      <w:pPr>
        <w:snapToGrid w:val="0"/>
        <w:spacing w:line="260" w:lineRule="exact"/>
        <w:ind w:left="2162" w:leftChars="258" w:hanging="1620" w:hangingChars="900"/>
        <w:rPr>
          <w:rFonts w:ascii="宋体" w:hAnsi="宋体"/>
          <w:color w:val="000000"/>
          <w:sz w:val="18"/>
          <w:szCs w:val="18"/>
        </w:rPr>
      </w:pPr>
      <w:r>
        <w:rPr>
          <w:rFonts w:hint="eastAsia" w:ascii="宋体" w:hAnsi="宋体" w:cs="宋体"/>
          <w:bCs/>
          <w:color w:val="000000"/>
          <w:kern w:val="0"/>
          <w:sz w:val="18"/>
          <w:szCs w:val="18"/>
        </w:rPr>
        <w:t>2.报送日期及方式：网络平台12月31日0：00开网；</w:t>
      </w:r>
      <w:r>
        <w:rPr>
          <w:rFonts w:hint="eastAsia" w:ascii="宋体" w:hAnsi="宋体" w:cs="宋体"/>
          <w:sz w:val="18"/>
          <w:szCs w:val="18"/>
        </w:rPr>
        <w:t>调查单位2025年2月20日24：00前网上填报，</w:t>
      </w:r>
      <w:r>
        <w:rPr>
          <w:rFonts w:hint="eastAsia" w:ascii="宋体" w:hAnsi="宋体"/>
          <w:color w:val="000000"/>
          <w:sz w:val="18"/>
          <w:szCs w:val="18"/>
        </w:rPr>
        <w:t>无法进行网络直报的单位可通过其他形式报送，再由统计机构代录至平台</w:t>
      </w:r>
      <w:r>
        <w:rPr>
          <w:rFonts w:hint="eastAsia" w:ascii="宋体"/>
          <w:color w:val="000000"/>
          <w:spacing w:val="-2"/>
          <w:sz w:val="18"/>
          <w:szCs w:val="18"/>
        </w:rPr>
        <w:t>；</w:t>
      </w:r>
      <w:r>
        <w:rPr>
          <w:rFonts w:hint="eastAsia" w:ascii="宋体" w:hAnsi="宋体" w:cs="宋体"/>
          <w:sz w:val="18"/>
          <w:szCs w:val="18"/>
        </w:rPr>
        <w:t>市级统计机构2025年2月</w:t>
      </w:r>
      <w:r>
        <w:rPr>
          <w:rFonts w:ascii="宋体" w:hAnsi="宋体" w:cs="宋体"/>
          <w:sz w:val="18"/>
          <w:szCs w:val="18"/>
        </w:rPr>
        <w:t>25</w:t>
      </w:r>
      <w:r>
        <w:rPr>
          <w:rFonts w:hint="eastAsia" w:ascii="宋体" w:hAnsi="宋体" w:cs="宋体"/>
          <w:sz w:val="18"/>
          <w:szCs w:val="18"/>
        </w:rPr>
        <w:t>日24：00前完成数据审核、验收、上报。</w:t>
      </w:r>
    </w:p>
    <w:p>
      <w:pPr>
        <w:snapToGrid w:val="0"/>
        <w:spacing w:line="260" w:lineRule="exact"/>
        <w:ind w:left="719" w:leftChars="256" w:hanging="181" w:hangingChars="101"/>
        <w:rPr>
          <w:rFonts w:ascii="宋体"/>
          <w:color w:val="000000"/>
          <w:sz w:val="18"/>
        </w:rPr>
      </w:pPr>
      <w:r>
        <w:rPr>
          <w:rFonts w:hint="eastAsia" w:ascii="宋体"/>
          <w:color w:val="000000"/>
          <w:sz w:val="18"/>
        </w:rPr>
        <w:t>3.从业人员平均工资由联网直报平台根据调查单位填报数据计算生成，调查单位无需填写。</w:t>
      </w:r>
    </w:p>
    <w:p>
      <w:pPr>
        <w:snapToGrid w:val="0"/>
        <w:spacing w:line="260" w:lineRule="exact"/>
        <w:ind w:left="719" w:leftChars="256" w:hanging="181" w:hangingChars="101"/>
        <w:rPr>
          <w:rFonts w:ascii="宋体"/>
          <w:color w:val="000000"/>
          <w:sz w:val="18"/>
        </w:rPr>
      </w:pPr>
      <w:r>
        <w:rPr>
          <w:rFonts w:hint="eastAsia" w:ascii="宋体"/>
          <w:color w:val="000000"/>
          <w:sz w:val="18"/>
        </w:rPr>
        <w:t>4.审核关系：</w:t>
      </w:r>
    </w:p>
    <w:p>
      <w:pPr>
        <w:snapToGrid w:val="0"/>
        <w:spacing w:line="260" w:lineRule="exact"/>
        <w:ind w:firstLine="720" w:firstLineChars="400"/>
        <w:rPr>
          <w:rFonts w:ascii="宋体" w:hAnsi="宋体" w:cs="宋体"/>
          <w:color w:val="000000"/>
          <w:kern w:val="0"/>
          <w:sz w:val="18"/>
          <w:szCs w:val="18"/>
        </w:rPr>
      </w:pPr>
      <w:r>
        <w:rPr>
          <w:rFonts w:hint="eastAsia" w:ascii="宋体" w:hAnsi="宋体" w:cs="宋体"/>
          <w:color w:val="000000"/>
          <w:kern w:val="0"/>
          <w:sz w:val="18"/>
          <w:szCs w:val="18"/>
        </w:rPr>
        <w:t xml:space="preserve">（1）01≥02            </w:t>
      </w:r>
      <w:r>
        <w:rPr>
          <w:rFonts w:ascii="宋体" w:hAnsi="宋体" w:cs="宋体"/>
          <w:color w:val="000000"/>
          <w:kern w:val="0"/>
          <w:sz w:val="18"/>
          <w:szCs w:val="18"/>
        </w:rPr>
        <w:t xml:space="preserve">  </w:t>
      </w:r>
      <w:r>
        <w:rPr>
          <w:rFonts w:hint="eastAsia" w:ascii="宋体" w:hAnsi="宋体" w:cs="宋体"/>
          <w:color w:val="000000"/>
          <w:kern w:val="0"/>
          <w:sz w:val="18"/>
          <w:szCs w:val="18"/>
        </w:rPr>
        <w:t>（2）01=05+06+07</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（3）08=09+10+11        （4）12=13+18+19       </w:t>
      </w:r>
      <w:r>
        <w:rPr>
          <w:rFonts w:ascii="宋体" w:hAnsi="宋体" w:cs="宋体"/>
          <w:color w:val="000000"/>
          <w:kern w:val="0"/>
          <w:sz w:val="18"/>
          <w:szCs w:val="18"/>
        </w:rPr>
        <w:t xml:space="preserve">  </w:t>
      </w:r>
    </w:p>
    <w:p>
      <w:pPr>
        <w:snapToGrid/>
        <w:spacing w:after="0" w:afterLines="-2147483648"/>
        <w:jc w:val="both"/>
        <w:outlineLvl w:val="9"/>
        <w:rPr>
          <w:rFonts w:ascii="Times New Roman" w:hAnsi="Times New Roman"/>
          <w:color w:val="auto"/>
          <w:sz w:val="21"/>
          <w:szCs w:val="21"/>
        </w:rPr>
      </w:pPr>
      <w:bookmarkStart w:id="66" w:name="_Toc1516234268"/>
      <w:bookmarkStart w:id="67" w:name="_Toc1275265606"/>
      <w:r>
        <w:rPr>
          <w:rFonts w:hint="eastAsia" w:ascii="宋体" w:hAnsi="宋体"/>
          <w:sz w:val="32"/>
          <w:szCs w:val="32"/>
        </w:rPr>
        <w:br w:type="page"/>
      </w:r>
    </w:p>
    <w:p>
      <w:pPr>
        <w:pStyle w:val="2"/>
        <w:ind w:left="420" w:firstLine="420"/>
        <w:rPr>
          <w:rFonts w:ascii="宋体" w:hAnsi="宋体"/>
          <w:color w:val="000000"/>
          <w:sz w:val="32"/>
          <w:szCs w:val="32"/>
        </w:rPr>
      </w:pPr>
    </w:p>
    <w:p>
      <w:pPr>
        <w:widowControl/>
        <w:snapToGrid/>
        <w:spacing w:after="0" w:afterLines="-2147483648"/>
        <w:jc w:val="center"/>
        <w:outlineLvl w:val="9"/>
        <w:rPr>
          <w:rFonts w:ascii="宋体" w:hAnsi="宋体"/>
          <w:color w:val="000000"/>
          <w:sz w:val="32"/>
          <w:szCs w:val="32"/>
        </w:rPr>
      </w:pPr>
      <w:bookmarkStart w:id="68" w:name="_Toc2055326706"/>
      <w:bookmarkStart w:id="69" w:name="_Toc1226878854"/>
      <w:bookmarkStart w:id="70" w:name="_Toc1156247807"/>
      <w:r>
        <w:rPr>
          <w:rFonts w:hint="eastAsia" w:ascii="宋体" w:hAnsi="宋体"/>
          <w:color w:val="000000"/>
          <w:sz w:val="32"/>
          <w:szCs w:val="32"/>
        </w:rPr>
        <w:t>从业人员及工资总额</w:t>
      </w:r>
      <w:bookmarkEnd w:id="66"/>
      <w:bookmarkEnd w:id="67"/>
      <w:bookmarkEnd w:id="68"/>
      <w:bookmarkEnd w:id="69"/>
      <w:bookmarkEnd w:id="70"/>
    </w:p>
    <w:tbl>
      <w:tblPr>
        <w:tblStyle w:val="20"/>
        <w:tblW w:w="9188" w:type="dxa"/>
        <w:jc w:val="center"/>
        <w:tblLayout w:type="fixed"/>
        <w:tblCellMar>
          <w:top w:w="0" w:type="dxa"/>
          <w:left w:w="0" w:type="dxa"/>
          <w:bottom w:w="0" w:type="dxa"/>
          <w:right w:w="0" w:type="dxa"/>
        </w:tblCellMar>
      </w:tblPr>
      <w:tblGrid>
        <w:gridCol w:w="27"/>
        <w:gridCol w:w="615"/>
        <w:gridCol w:w="742"/>
        <w:gridCol w:w="666"/>
        <w:gridCol w:w="600"/>
        <w:gridCol w:w="673"/>
        <w:gridCol w:w="645"/>
        <w:gridCol w:w="630"/>
        <w:gridCol w:w="675"/>
        <w:gridCol w:w="660"/>
        <w:gridCol w:w="319"/>
        <w:gridCol w:w="332"/>
        <w:gridCol w:w="714"/>
        <w:gridCol w:w="95"/>
        <w:gridCol w:w="535"/>
        <w:gridCol w:w="630"/>
        <w:gridCol w:w="630"/>
        <w:tblGridChange w:id="1">
          <w:tblGrid>
            <w:gridCol w:w="27"/>
            <w:gridCol w:w="615"/>
            <w:gridCol w:w="742"/>
            <w:gridCol w:w="666"/>
            <w:gridCol w:w="600"/>
            <w:gridCol w:w="673"/>
            <w:gridCol w:w="645"/>
            <w:gridCol w:w="630"/>
            <w:gridCol w:w="675"/>
            <w:gridCol w:w="660"/>
            <w:gridCol w:w="319"/>
            <w:gridCol w:w="226"/>
            <w:gridCol w:w="106"/>
            <w:gridCol w:w="714"/>
            <w:gridCol w:w="95"/>
            <w:gridCol w:w="535"/>
            <w:gridCol w:w="630"/>
            <w:gridCol w:w="630"/>
          </w:tblGrid>
        </w:tblGridChange>
      </w:tblGrid>
      <w:tr>
        <w:tblPrEx>
          <w:tblCellMar>
            <w:top w:w="0" w:type="dxa"/>
            <w:left w:w="0" w:type="dxa"/>
            <w:bottom w:w="0" w:type="dxa"/>
            <w:right w:w="0" w:type="dxa"/>
          </w:tblCellMar>
        </w:tblPrEx>
        <w:trPr>
          <w:gridBefore w:val="1"/>
          <w:wBefore w:w="27" w:type="dxa"/>
          <w:trHeight w:val="90" w:hRule="atLeast"/>
          <w:jc w:val="center"/>
        </w:trPr>
        <w:tc>
          <w:tcPr>
            <w:tcW w:w="6225" w:type="dxa"/>
            <w:gridSpan w:val="10"/>
          </w:tcPr>
          <w:p>
            <w:pPr>
              <w:spacing w:line="220" w:lineRule="exact"/>
              <w:rPr>
                <w:rFonts w:ascii="宋体" w:hAnsi="宋体"/>
                <w:color w:val="000000"/>
                <w:sz w:val="18"/>
                <w:szCs w:val="18"/>
              </w:rPr>
            </w:pPr>
          </w:p>
        </w:tc>
        <w:tc>
          <w:tcPr>
            <w:tcW w:w="1141"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I102－3表</w:t>
            </w:r>
          </w:p>
        </w:tc>
      </w:tr>
      <w:tr>
        <w:tblPrEx>
          <w:tblCellMar>
            <w:top w:w="0" w:type="dxa"/>
            <w:left w:w="0" w:type="dxa"/>
            <w:bottom w:w="0" w:type="dxa"/>
            <w:right w:w="0" w:type="dxa"/>
          </w:tblCellMar>
        </w:tblPrEx>
        <w:trPr>
          <w:gridBefore w:val="1"/>
          <w:wBefore w:w="27" w:type="dxa"/>
          <w:jc w:val="center"/>
        </w:trPr>
        <w:tc>
          <w:tcPr>
            <w:tcW w:w="6225" w:type="dxa"/>
            <w:gridSpan w:val="10"/>
          </w:tcPr>
          <w:p>
            <w:pPr>
              <w:spacing w:line="220" w:lineRule="exact"/>
              <w:rPr>
                <w:rFonts w:ascii="宋体" w:hAnsi="宋体"/>
                <w:color w:val="000000"/>
                <w:sz w:val="18"/>
                <w:szCs w:val="18"/>
              </w:rPr>
            </w:pPr>
          </w:p>
        </w:tc>
        <w:tc>
          <w:tcPr>
            <w:tcW w:w="1141"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tcMar>
              <w:left w:w="0" w:type="dxa"/>
              <w:right w:w="0" w:type="dxa"/>
            </w:tcMar>
            <w:vAlign w:val="center"/>
          </w:tcPr>
          <w:p>
            <w:pPr>
              <w:spacing w:line="220" w:lineRule="exact"/>
              <w:jc w:val="distribute"/>
              <w:rPr>
                <w:rFonts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7" w:type="dxa"/>
          <w:jc w:val="center"/>
        </w:trPr>
        <w:tc>
          <w:tcPr>
            <w:tcW w:w="6225" w:type="dxa"/>
            <w:gridSpan w:val="10"/>
          </w:tcPr>
          <w:p>
            <w:pPr>
              <w:spacing w:line="220" w:lineRule="exact"/>
              <w:rPr>
                <w:rFonts w:ascii="宋体" w:hAnsi="宋体"/>
                <w:color w:val="000000"/>
                <w:sz w:val="18"/>
                <w:szCs w:val="18"/>
              </w:rPr>
            </w:pPr>
            <w:r>
              <w:rPr>
                <w:rFonts w:hint="eastAsia" w:ascii="宋体" w:hAnsi="宋体" w:cs="宋体"/>
                <w:color w:val="000000"/>
                <w:sz w:val="18"/>
                <w:szCs w:val="18"/>
              </w:rPr>
              <w:t>统一社会信用代码□□□□□□□□□□□□□□□□□□</w:t>
            </w:r>
          </w:p>
        </w:tc>
        <w:tc>
          <w:tcPr>
            <w:tcW w:w="1141"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sz w:val="18"/>
                <w:szCs w:val="18"/>
              </w:rPr>
              <w:t>国统字〔2024〕77号</w:t>
            </w:r>
          </w:p>
        </w:tc>
      </w:tr>
      <w:tr>
        <w:tblPrEx>
          <w:tblCellMar>
            <w:top w:w="0" w:type="dxa"/>
            <w:left w:w="0" w:type="dxa"/>
            <w:bottom w:w="0" w:type="dxa"/>
            <w:right w:w="0" w:type="dxa"/>
          </w:tblCellMar>
        </w:tblPrEx>
        <w:trPr>
          <w:gridBefore w:val="1"/>
          <w:wBefore w:w="27" w:type="dxa"/>
          <w:jc w:val="center"/>
        </w:trPr>
        <w:tc>
          <w:tcPr>
            <w:tcW w:w="6225" w:type="dxa"/>
            <w:gridSpan w:val="10"/>
          </w:tcPr>
          <w:p>
            <w:pPr>
              <w:spacing w:line="220" w:lineRule="exact"/>
              <w:rPr>
                <w:rFonts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p>
        </w:tc>
        <w:tc>
          <w:tcPr>
            <w:tcW w:w="1141"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2025年</w:t>
            </w:r>
            <w:r>
              <w:rPr>
                <w:rFonts w:hint="eastAsia" w:ascii="宋体" w:hAnsi="宋体"/>
                <w:color w:val="000000"/>
                <w:sz w:val="18"/>
                <w:szCs w:val="18"/>
              </w:rPr>
              <w:t>6月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642" w:type="dxa"/>
            <w:gridSpan w:val="2"/>
            <w:vMerge w:val="restart"/>
            <w:tcBorders>
              <w:top w:val="single" w:color="auto" w:sz="8"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人员情况</w:t>
            </w:r>
          </w:p>
        </w:tc>
        <w:tc>
          <w:tcPr>
            <w:tcW w:w="2604" w:type="dxa"/>
            <w:gridSpan w:val="5"/>
            <w:tcBorders>
              <w:top w:val="single" w:color="auto" w:sz="8"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c>
          <w:tcPr>
            <w:tcW w:w="742"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从业人员期末人数(人)</w:t>
            </w:r>
          </w:p>
        </w:tc>
        <w:tc>
          <w:tcPr>
            <w:tcW w:w="2584" w:type="dxa"/>
            <w:gridSpan w:val="4"/>
            <w:tcBorders>
              <w:top w:val="single" w:color="auto" w:sz="2" w:space="0"/>
              <w:left w:val="nil"/>
              <w:bottom w:val="single" w:color="auto" w:sz="2" w:space="0"/>
              <w:right w:val="single" w:color="auto" w:sz="4" w:space="0"/>
            </w:tcBorders>
            <w:vAlign w:val="center"/>
          </w:tcPr>
          <w:p>
            <w:pPr>
              <w:jc w:val="center"/>
              <w:rPr>
                <w:rFonts w:ascii="宋体" w:hAnsi="宋体" w:cs="宋体"/>
                <w:color w:val="000000"/>
                <w:sz w:val="18"/>
                <w:szCs w:val="18"/>
              </w:rPr>
            </w:pPr>
          </w:p>
        </w:tc>
        <w:tc>
          <w:tcPr>
            <w:tcW w:w="630" w:type="dxa"/>
            <w:vMerge w:val="restart"/>
            <w:tcBorders>
              <w:top w:val="single" w:color="auto" w:sz="2" w:space="0"/>
              <w:left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从业人员平均人数(人)</w:t>
            </w:r>
          </w:p>
        </w:tc>
        <w:tc>
          <w:tcPr>
            <w:tcW w:w="1986" w:type="dxa"/>
            <w:gridSpan w:val="4"/>
            <w:tcBorders>
              <w:top w:val="single" w:color="auto" w:sz="2" w:space="0"/>
              <w:left w:val="nil"/>
              <w:bottom w:val="single" w:color="auto" w:sz="2" w:space="0"/>
              <w:right w:val="single" w:color="auto" w:sz="4" w:space="0"/>
            </w:tcBorders>
            <w:vAlign w:val="center"/>
          </w:tcPr>
          <w:p>
            <w:pPr>
              <w:jc w:val="center"/>
              <w:rPr>
                <w:rFonts w:ascii="宋体" w:hAnsi="宋体" w:cs="宋体"/>
                <w:color w:val="000000"/>
                <w:sz w:val="18"/>
                <w:szCs w:val="18"/>
              </w:rPr>
            </w:pPr>
          </w:p>
        </w:tc>
        <w:tc>
          <w:tcPr>
            <w:tcW w:w="714" w:type="dxa"/>
            <w:vMerge w:val="restart"/>
            <w:tcBorders>
              <w:top w:val="single" w:color="auto" w:sz="2" w:space="0"/>
              <w:left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从业人员工资总额</w:t>
            </w:r>
          </w:p>
          <w:p>
            <w:pPr>
              <w:jc w:val="center"/>
              <w:rPr>
                <w:rFonts w:ascii="宋体" w:hAnsi="宋体" w:cs="宋体"/>
                <w:color w:val="000000"/>
                <w:sz w:val="18"/>
                <w:szCs w:val="18"/>
              </w:rPr>
            </w:pPr>
            <w:r>
              <w:rPr>
                <w:rFonts w:hint="eastAsia" w:ascii="宋体" w:hAnsi="宋体" w:cs="宋体"/>
                <w:color w:val="000000"/>
                <w:sz w:val="18"/>
                <w:szCs w:val="18"/>
              </w:rPr>
              <w:t>(千元)</w:t>
            </w:r>
          </w:p>
        </w:tc>
        <w:tc>
          <w:tcPr>
            <w:tcW w:w="1890" w:type="dxa"/>
            <w:gridSpan w:val="4"/>
            <w:tcBorders>
              <w:top w:val="single" w:color="auto" w:sz="2" w:space="0"/>
              <w:left w:val="nil"/>
              <w:bottom w:val="single" w:color="auto" w:sz="2" w:space="0"/>
              <w:right w:val="nil"/>
            </w:tcBorders>
            <w:vAlign w:val="center"/>
          </w:tcPr>
          <w:p>
            <w:pP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其中，女性</w:t>
            </w:r>
          </w:p>
        </w:tc>
        <w:tc>
          <w:tcPr>
            <w:tcW w:w="191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630" w:type="dxa"/>
            <w:vMerge w:val="continue"/>
            <w:tcBorders>
              <w:left w:val="single" w:color="auto" w:sz="4" w:space="0"/>
              <w:right w:val="nil"/>
            </w:tcBorders>
            <w:vAlign w:val="center"/>
          </w:tcPr>
          <w:p>
            <w:pPr>
              <w:jc w:val="center"/>
              <w:rPr>
                <w:rFonts w:ascii="宋体" w:hAnsi="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714" w:type="dxa"/>
            <w:vMerge w:val="continue"/>
            <w:tcBorders>
              <w:left w:val="single" w:color="auto" w:sz="2" w:space="0"/>
              <w:right w:val="single" w:color="auto" w:sz="4" w:space="0"/>
            </w:tcBorders>
            <w:vAlign w:val="center"/>
          </w:tcPr>
          <w:p>
            <w:pPr>
              <w:jc w:val="center"/>
              <w:rPr>
                <w:rFonts w:ascii="宋体" w:hAnsi="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642"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7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63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60" w:type="dxa"/>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51" w:type="dxa"/>
            <w:gridSpan w:val="2"/>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714" w:type="dxa"/>
            <w:vMerge w:val="continue"/>
            <w:tcBorders>
              <w:left w:val="single" w:color="auto" w:sz="2" w:space="0"/>
              <w:bottom w:val="single" w:color="auto" w:sz="4" w:space="0"/>
              <w:right w:val="single" w:color="auto" w:sz="4" w:space="0"/>
            </w:tcBorders>
            <w:vAlign w:val="center"/>
          </w:tcPr>
          <w:p>
            <w:pPr>
              <w:jc w:val="center"/>
              <w:rPr>
                <w:rFonts w:ascii="宋体" w:hAnsi="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30" w:type="dxa"/>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30" w:type="dxa"/>
            <w:tcBorders>
              <w:top w:val="single" w:color="auto" w:sz="4" w:space="0"/>
              <w:left w:val="single" w:color="auto" w:sz="2" w:space="0"/>
              <w:bottom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1月</w:t>
            </w:r>
          </w:p>
        </w:tc>
        <w:tc>
          <w:tcPr>
            <w:tcW w:w="742"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2月</w:t>
            </w:r>
          </w:p>
        </w:tc>
        <w:tc>
          <w:tcPr>
            <w:tcW w:w="742"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3月</w:t>
            </w:r>
          </w:p>
        </w:tc>
        <w:tc>
          <w:tcPr>
            <w:tcW w:w="742"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4月</w:t>
            </w:r>
          </w:p>
        </w:tc>
        <w:tc>
          <w:tcPr>
            <w:tcW w:w="742"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5月</w:t>
            </w:r>
          </w:p>
        </w:tc>
        <w:tc>
          <w:tcPr>
            <w:tcW w:w="742"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6月</w:t>
            </w:r>
          </w:p>
        </w:tc>
        <w:tc>
          <w:tcPr>
            <w:tcW w:w="742"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7月</w:t>
            </w:r>
          </w:p>
        </w:tc>
        <w:tc>
          <w:tcPr>
            <w:tcW w:w="742"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8月</w:t>
            </w:r>
          </w:p>
        </w:tc>
        <w:tc>
          <w:tcPr>
            <w:tcW w:w="742"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single" w:color="auto" w:sz="4"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9月</w:t>
            </w:r>
          </w:p>
        </w:tc>
        <w:tc>
          <w:tcPr>
            <w:tcW w:w="742"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single" w:color="auto" w:sz="4" w:space="0"/>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10月</w:t>
            </w:r>
          </w:p>
        </w:tc>
        <w:tc>
          <w:tcPr>
            <w:tcW w:w="742"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11月</w:t>
            </w:r>
          </w:p>
        </w:tc>
        <w:tc>
          <w:tcPr>
            <w:tcW w:w="742"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nil"/>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12月</w:t>
            </w:r>
          </w:p>
        </w:tc>
        <w:tc>
          <w:tcPr>
            <w:tcW w:w="742"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42"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r>
              <w:rPr>
                <w:rFonts w:hint="eastAsia" w:ascii="宋体" w:hAnsi="宋体" w:cs="宋体"/>
                <w:color w:val="000000"/>
                <w:sz w:val="18"/>
                <w:szCs w:val="18"/>
              </w:rPr>
              <w:t>全年</w:t>
            </w:r>
          </w:p>
        </w:tc>
        <w:tc>
          <w:tcPr>
            <w:tcW w:w="74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rFonts w:ascii="宋体" w:hAnsi="宋体" w:cs="宋体"/>
                <w:color w:val="000000"/>
                <w:sz w:val="18"/>
                <w:szCs w:val="18"/>
              </w:rPr>
            </w:pPr>
          </w:p>
        </w:tc>
      </w:tr>
    </w:tbl>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  续表</w:t>
      </w:r>
    </w:p>
    <w:tbl>
      <w:tblPr>
        <w:tblStyle w:val="20"/>
        <w:tblW w:w="9195" w:type="dxa"/>
        <w:tblInd w:w="204"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9"/>
        <w:gridCol w:w="816"/>
        <w:gridCol w:w="772"/>
        <w:gridCol w:w="924"/>
        <w:gridCol w:w="737"/>
        <w:gridCol w:w="213"/>
        <w:gridCol w:w="717"/>
        <w:gridCol w:w="233"/>
        <w:gridCol w:w="951"/>
        <w:gridCol w:w="950"/>
        <w:gridCol w:w="87"/>
        <w:gridCol w:w="863"/>
        <w:gridCol w:w="173"/>
        <w:gridCol w:w="780"/>
        <w:tblGridChange w:id="2">
          <w:tblGrid>
            <w:gridCol w:w="979"/>
            <w:gridCol w:w="816"/>
            <w:gridCol w:w="772"/>
            <w:gridCol w:w="924"/>
            <w:gridCol w:w="737"/>
            <w:gridCol w:w="213"/>
            <w:gridCol w:w="717"/>
            <w:gridCol w:w="233"/>
            <w:gridCol w:w="951"/>
            <w:gridCol w:w="950"/>
            <w:gridCol w:w="87"/>
            <w:gridCol w:w="863"/>
            <w:gridCol w:w="173"/>
            <w:gridCol w:w="780"/>
          </w:tblGrid>
        </w:tblGridChange>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exact"/>
        </w:trPr>
        <w:tc>
          <w:tcPr>
            <w:tcW w:w="979" w:type="dxa"/>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816" w:type="dxa"/>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772" w:type="dxa"/>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737" w:type="dxa"/>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930" w:type="dxa"/>
            <w:gridSpan w:val="2"/>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1184" w:type="dxa"/>
            <w:gridSpan w:val="2"/>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1037" w:type="dxa"/>
            <w:gridSpan w:val="2"/>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1036" w:type="dxa"/>
            <w:gridSpan w:val="2"/>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c>
          <w:tcPr>
            <w:tcW w:w="780" w:type="dxa"/>
            <w:tcBorders>
              <w:top w:val="single" w:color="auto" w:sz="8"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567"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924"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从业人员平均工资(元)</w:t>
            </w:r>
          </w:p>
        </w:tc>
        <w:tc>
          <w:tcPr>
            <w:tcW w:w="737"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30"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84"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7"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567"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285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2853" w:type="dxa"/>
            <w:gridSpan w:val="5"/>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79" w:type="dxa"/>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正常工资</w:t>
            </w:r>
          </w:p>
        </w:tc>
        <w:tc>
          <w:tcPr>
            <w:tcW w:w="81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rFonts w:ascii="宋体" w:hAnsi="宋体" w:cs="宋体"/>
                <w:color w:val="000000"/>
                <w:sz w:val="18"/>
                <w:szCs w:val="18"/>
              </w:rPr>
            </w:pPr>
            <w:r>
              <w:rPr>
                <w:rFonts w:hint="eastAsia" w:ascii="宋体" w:hAnsi="宋体" w:cs="宋体"/>
                <w:color w:val="000000"/>
                <w:sz w:val="18"/>
                <w:szCs w:val="18"/>
              </w:rPr>
              <w:t>奖金</w:t>
            </w:r>
          </w:p>
        </w:tc>
        <w:tc>
          <w:tcPr>
            <w:tcW w:w="77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劳务派遣人员</w:t>
            </w:r>
          </w:p>
        </w:tc>
        <w:tc>
          <w:tcPr>
            <w:tcW w:w="951" w:type="dxa"/>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其他从业人员</w:t>
            </w:r>
          </w:p>
        </w:tc>
        <w:tc>
          <w:tcPr>
            <w:tcW w:w="950"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正常工资</w:t>
            </w:r>
          </w:p>
        </w:tc>
        <w:tc>
          <w:tcPr>
            <w:tcW w:w="950"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color w:val="000000"/>
              </w:rPr>
            </w:pPr>
            <w:r>
              <w:rPr>
                <w:rFonts w:hint="eastAsia" w:ascii="宋体" w:hAnsi="宋体" w:cs="宋体"/>
                <w:color w:val="000000"/>
                <w:sz w:val="18"/>
                <w:szCs w:val="18"/>
              </w:rPr>
              <w:t>奖金</w:t>
            </w:r>
          </w:p>
        </w:tc>
        <w:tc>
          <w:tcPr>
            <w:tcW w:w="953"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979" w:type="dxa"/>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816"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772"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22</w:t>
            </w:r>
          </w:p>
        </w:tc>
        <w:tc>
          <w:tcPr>
            <w:tcW w:w="951" w:type="dxa"/>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950" w:type="dxa"/>
            <w:gridSpan w:val="2"/>
            <w:tcBorders>
              <w:top w:val="single" w:color="auto" w:sz="2" w:space="0"/>
              <w:left w:val="single" w:color="auto" w:sz="4" w:space="0"/>
              <w:bottom w:val="single" w:color="auto" w:sz="2" w:space="0"/>
              <w:right w:val="nil"/>
            </w:tcBorders>
            <w:noWrap/>
            <w:vAlign w:val="center"/>
          </w:tcPr>
          <w:p>
            <w:pPr>
              <w:jc w:val="center"/>
              <w:rPr>
                <w:color w:val="000000"/>
              </w:rPr>
            </w:pPr>
            <w:r>
              <w:rPr>
                <w:rFonts w:hint="eastAsia" w:ascii="宋体" w:hAnsi="宋体" w:cs="宋体"/>
                <w:color w:val="000000"/>
                <w:sz w:val="18"/>
                <w:szCs w:val="18"/>
              </w:rPr>
              <w:t>25</w:t>
            </w:r>
          </w:p>
        </w:tc>
        <w:tc>
          <w:tcPr>
            <w:tcW w:w="953" w:type="dxa"/>
            <w:gridSpan w:val="2"/>
            <w:tcBorders>
              <w:top w:val="single" w:color="auto" w:sz="2" w:space="0"/>
              <w:left w:val="single" w:color="auto" w:sz="4" w:space="0"/>
              <w:bottom w:val="single" w:color="auto" w:sz="2"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single" w:color="auto" w:sz="2" w:space="0"/>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single" w:color="auto" w:sz="2" w:space="0"/>
              <w:left w:val="single" w:color="auto" w:sz="2"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2"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single" w:color="auto" w:sz="2" w:space="0"/>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single" w:color="auto" w:sz="2" w:space="0"/>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single" w:color="auto" w:sz="2" w:space="0"/>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2" w:space="0"/>
              <w:bottom w:val="single" w:color="auto" w:sz="2" w:space="0"/>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single" w:color="auto" w:sz="2" w:space="0"/>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single" w:color="auto" w:sz="2" w:space="0"/>
              <w:left w:val="single" w:color="auto" w:sz="2"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2"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single" w:color="auto" w:sz="2" w:space="0"/>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single" w:color="auto" w:sz="2" w:space="0"/>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single" w:color="auto" w:sz="2" w:space="0"/>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2" w:space="0"/>
              <w:bottom w:val="single" w:color="auto" w:sz="2" w:space="0"/>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single" w:color="auto" w:sz="2" w:space="0"/>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single" w:color="auto" w:sz="2"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single" w:color="auto" w:sz="2" w:space="0"/>
              <w:left w:val="single" w:color="auto" w:sz="2" w:space="0"/>
              <w:bottom w:val="nil"/>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single" w:color="auto" w:sz="2" w:space="0"/>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single" w:color="auto" w:sz="4" w:space="0"/>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single" w:color="auto" w:sz="4" w:space="0"/>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single" w:color="auto" w:sz="4" w:space="0"/>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single" w:color="auto" w:sz="4" w:space="0"/>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single" w:color="auto" w:sz="4"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single" w:color="auto" w:sz="4" w:space="0"/>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single" w:color="auto" w:sz="4" w:space="0"/>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single" w:color="auto" w:sz="4" w:space="0"/>
              <w:left w:val="single" w:color="auto" w:sz="2" w:space="0"/>
              <w:bottom w:val="nil"/>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single" w:color="auto" w:sz="4" w:space="0"/>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single" w:color="auto" w:sz="4" w:space="0"/>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nil"/>
              <w:right w:val="single" w:color="auto" w:sz="2" w:space="0"/>
            </w:tcBorders>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nil"/>
              <w:right w:val="single" w:color="auto" w:sz="2" w:space="0"/>
            </w:tcBorders>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nil"/>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4" w:space="0"/>
              <w:bottom w:val="nil"/>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79" w:type="dxa"/>
            <w:tcBorders>
              <w:top w:val="nil"/>
              <w:left w:val="nil"/>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816"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772"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24"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1" w:type="dxa"/>
            <w:tcBorders>
              <w:top w:val="nil"/>
              <w:left w:val="single" w:color="auto" w:sz="2" w:space="0"/>
              <w:bottom w:val="single" w:color="auto" w:sz="4" w:space="0"/>
              <w:right w:val="single" w:color="auto" w:sz="2"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tcBorders>
              <w:top w:val="nil"/>
              <w:left w:val="single" w:color="auto" w:sz="2"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0"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c>
          <w:tcPr>
            <w:tcW w:w="953" w:type="dxa"/>
            <w:gridSpan w:val="2"/>
            <w:tcBorders>
              <w:top w:val="nil"/>
              <w:left w:val="single" w:color="auto" w:sz="4" w:space="0"/>
              <w:bottom w:val="single" w:color="auto" w:sz="4" w:space="0"/>
              <w:right w:val="nil"/>
            </w:tcBorders>
            <w:shd w:val="clear" w:color="auto" w:fill="BEBEBE" w:themeFill="background1" w:themeFillShade="BF"/>
            <w:noWrap/>
            <w:vAlign w:val="center"/>
          </w:tcPr>
          <w:p>
            <w:pPr>
              <w:widowControl/>
              <w:jc w:val="center"/>
              <w:rPr>
                <w:rFonts w:ascii="宋体" w:hAnsi="宋体" w:cs="宋体"/>
                <w:color w:val="000000"/>
                <w:sz w:val="18"/>
                <w:szCs w:val="18"/>
              </w:rPr>
            </w:pPr>
          </w:p>
        </w:tc>
      </w:tr>
    </w:tbl>
    <w:p>
      <w:pPr>
        <w:kinsoku w:val="0"/>
        <w:overflowPunct w:val="0"/>
        <w:adjustRightInd w:val="0"/>
        <w:snapToGrid w:val="0"/>
        <w:spacing w:line="240" w:lineRule="exact"/>
        <w:ind w:left="0" w:leftChars="0" w:firstLine="0" w:firstLineChars="0"/>
        <w:rPr>
          <w:rFonts w:ascii="宋体"/>
          <w:color w:val="000000"/>
          <w:sz w:val="18"/>
        </w:rPr>
      </w:pPr>
      <w:r>
        <w:rPr>
          <w:rFonts w:hint="eastAsia" w:ascii="宋体" w:hAnsi="宋体" w:cs="宋体"/>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before="120" w:beforeLines="50" w:line="220" w:lineRule="exact"/>
        <w:ind w:left="1619" w:leftChars="-1" w:hanging="1621" w:hangingChars="901"/>
        <w:jc w:val="left"/>
        <w:rPr>
          <w:rFonts w:ascii="宋体"/>
          <w:color w:val="000000"/>
          <w:sz w:val="18"/>
        </w:rPr>
      </w:pPr>
      <w:r>
        <w:rPr>
          <w:rFonts w:hint="eastAsia" w:ascii="宋体" w:hAnsi="宋体" w:cs="宋体"/>
          <w:bCs/>
          <w:color w:val="000000"/>
          <w:kern w:val="0"/>
          <w:sz w:val="18"/>
          <w:szCs w:val="18"/>
        </w:rPr>
        <w:t>说明：1.统计范围：</w:t>
      </w:r>
      <w:r>
        <w:rPr>
          <w:rFonts w:hint="eastAsia" w:ascii="宋体" w:hAnsi="宋体"/>
          <w:spacing w:val="2"/>
          <w:sz w:val="18"/>
          <w:szCs w:val="18"/>
        </w:rPr>
        <w:t>辖区内全部机关、事业</w:t>
      </w:r>
      <w:r>
        <w:rPr>
          <w:rFonts w:hint="eastAsia" w:ascii="宋体" w:hAnsi="宋体"/>
          <w:color w:val="000000"/>
          <w:sz w:val="18"/>
          <w:szCs w:val="18"/>
        </w:rPr>
        <w:t>法人单位。</w:t>
      </w:r>
    </w:p>
    <w:p>
      <w:pPr>
        <w:snapToGrid w:val="0"/>
        <w:spacing w:line="220" w:lineRule="exact"/>
        <w:ind w:left="2162" w:leftChars="258" w:hanging="1620" w:hangingChars="900"/>
        <w:jc w:val="left"/>
        <w:rPr>
          <w:rFonts w:ascii="宋体" w:hAnsi="宋体"/>
          <w:color w:val="000000"/>
          <w:sz w:val="18"/>
          <w:szCs w:val="18"/>
        </w:rPr>
      </w:pPr>
      <w:r>
        <w:rPr>
          <w:rFonts w:hint="eastAsia" w:ascii="宋体" w:hAnsi="宋体" w:cs="宋体"/>
          <w:bCs/>
          <w:color w:val="000000"/>
          <w:kern w:val="0"/>
          <w:sz w:val="18"/>
          <w:szCs w:val="18"/>
        </w:rPr>
        <w:t>2.报送日期及方式：网络平台2024年12月10日0：00开网；</w:t>
      </w:r>
      <w:r>
        <w:rPr>
          <w:rFonts w:hint="eastAsia" w:ascii="宋体" w:hAnsi="宋体" w:cs="宋体"/>
          <w:sz w:val="18"/>
          <w:szCs w:val="18"/>
        </w:rPr>
        <w:t>调查单位2025年2月10日24：00前网上填报，</w:t>
      </w:r>
      <w:r>
        <w:rPr>
          <w:rFonts w:hint="eastAsia" w:ascii="宋体" w:hAnsi="宋体"/>
          <w:color w:val="000000"/>
          <w:sz w:val="18"/>
          <w:szCs w:val="18"/>
        </w:rPr>
        <w:t>无法进行网络直报的单位可通过其他形式报送，再由统计机构代录至平台</w:t>
      </w:r>
      <w:r>
        <w:rPr>
          <w:rFonts w:hint="eastAsia" w:ascii="宋体"/>
          <w:color w:val="000000"/>
          <w:spacing w:val="-2"/>
          <w:sz w:val="18"/>
          <w:szCs w:val="18"/>
        </w:rPr>
        <w:t>；</w:t>
      </w:r>
      <w:r>
        <w:rPr>
          <w:rFonts w:hint="eastAsia" w:ascii="宋体" w:hAnsi="宋体" w:cs="宋体"/>
          <w:sz w:val="18"/>
          <w:szCs w:val="18"/>
        </w:rPr>
        <w:t>市级统计机构2025年2月</w:t>
      </w:r>
      <w:r>
        <w:rPr>
          <w:rFonts w:ascii="宋体" w:hAnsi="宋体" w:cs="宋体"/>
          <w:sz w:val="18"/>
          <w:szCs w:val="18"/>
        </w:rPr>
        <w:t>15</w:t>
      </w:r>
      <w:r>
        <w:rPr>
          <w:rFonts w:hint="eastAsia" w:ascii="宋体" w:hAnsi="宋体" w:cs="宋体"/>
          <w:sz w:val="18"/>
          <w:szCs w:val="18"/>
        </w:rPr>
        <w:t>日24：00前完成数据审核、验收、上报。</w:t>
      </w:r>
    </w:p>
    <w:p>
      <w:pPr>
        <w:snapToGrid w:val="0"/>
        <w:spacing w:line="220" w:lineRule="exact"/>
        <w:ind w:left="723" w:leftChars="257" w:hanging="183" w:hangingChars="102"/>
        <w:jc w:val="left"/>
        <w:rPr>
          <w:rFonts w:ascii="宋体"/>
          <w:color w:val="000000"/>
          <w:sz w:val="18"/>
        </w:rPr>
      </w:pPr>
      <w:r>
        <w:rPr>
          <w:rFonts w:hint="eastAsia" w:ascii="宋体"/>
          <w:color w:val="000000"/>
          <w:sz w:val="18"/>
        </w:rPr>
        <w:t>3.从业人员平均工资由联网直报平台根据调查单位填报数据计算生成，</w:t>
      </w:r>
      <w:r>
        <w:rPr>
          <w:rFonts w:hint="eastAsia" w:ascii="宋体" w:hAnsi="宋体" w:cs="宋体"/>
          <w:color w:val="000000"/>
          <w:sz w:val="18"/>
          <w:szCs w:val="18"/>
        </w:rPr>
        <w:t>从业人员期末人数、从业人员平均人数、从业人员工资总额、从业人员平均工资及其分组</w:t>
      </w:r>
      <w:r>
        <w:rPr>
          <w:rFonts w:hint="eastAsia" w:ascii="宋体"/>
          <w:color w:val="000000"/>
          <w:sz w:val="18"/>
        </w:rPr>
        <w:t>的“本季”和“1-本季”累计数由联网直报平台根据调查单位填报数据计算生成，调查单位无需填写。</w:t>
      </w:r>
    </w:p>
    <w:p>
      <w:pPr>
        <w:snapToGrid w:val="0"/>
        <w:spacing w:line="220" w:lineRule="exact"/>
        <w:ind w:left="2160" w:leftChars="257" w:hanging="1620" w:hangingChars="900"/>
        <w:jc w:val="left"/>
        <w:rPr>
          <w:rFonts w:ascii="宋体"/>
          <w:color w:val="000000"/>
          <w:sz w:val="18"/>
        </w:rPr>
      </w:pPr>
      <w:r>
        <w:rPr>
          <w:rFonts w:hint="eastAsia" w:ascii="宋体"/>
          <w:color w:val="000000"/>
          <w:sz w:val="18"/>
        </w:rPr>
        <w:t>4.工资总额按实际发放时间填报，但预发工资填报在应发月份。</w:t>
      </w:r>
    </w:p>
    <w:p>
      <w:pPr>
        <w:snapToGrid w:val="0"/>
        <w:spacing w:line="220" w:lineRule="exact"/>
        <w:ind w:left="723" w:leftChars="257" w:hanging="183" w:hangingChars="102"/>
        <w:jc w:val="left"/>
        <w:rPr>
          <w:rFonts w:ascii="宋体"/>
          <w:color w:val="000000"/>
          <w:sz w:val="18"/>
        </w:rPr>
      </w:pPr>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20" w:lineRule="exact"/>
        <w:ind w:left="723" w:leftChars="257" w:hanging="183" w:hangingChars="102"/>
        <w:jc w:val="left"/>
        <w:rPr>
          <w:rFonts w:ascii="宋体"/>
          <w:color w:val="000000"/>
          <w:sz w:val="18"/>
        </w:rPr>
      </w:pPr>
      <w:r>
        <w:rPr>
          <w:rFonts w:hint="eastAsia" w:ascii="宋体"/>
          <w:color w:val="000000"/>
          <w:sz w:val="18"/>
        </w:rPr>
        <w:t>6.审核关系：</w:t>
      </w:r>
    </w:p>
    <w:p>
      <w:pPr>
        <w:snapToGrid w:val="0"/>
        <w:spacing w:line="220" w:lineRule="exact"/>
        <w:ind w:firstLine="720" w:firstLineChars="400"/>
        <w:jc w:val="left"/>
        <w:rPr>
          <w:rFonts w:ascii="宋体" w:hAnsi="宋体" w:cs="宋体"/>
          <w:kern w:val="0"/>
          <w:sz w:val="18"/>
          <w:szCs w:val="18"/>
        </w:rPr>
      </w:pPr>
      <w:r>
        <w:rPr>
          <w:rFonts w:hint="eastAsia" w:ascii="宋体" w:hAnsi="宋体" w:cs="宋体"/>
          <w:color w:val="000000"/>
          <w:kern w:val="0"/>
          <w:sz w:val="18"/>
          <w:szCs w:val="18"/>
        </w:rPr>
        <w:t>（1）01≥02        （2）01=04+05+06       （3）08=09+10+11        （4）12=13+18+19     （5）12=14+15+16</w:t>
      </w:r>
      <w:r>
        <w:rPr>
          <w:rFonts w:ascii="宋体" w:hAnsi="宋体" w:cs="宋体"/>
          <w:color w:val="000000"/>
          <w:kern w:val="0"/>
          <w:sz w:val="18"/>
          <w:szCs w:val="18"/>
        </w:rPr>
        <w:t xml:space="preserve"> </w:t>
      </w:r>
    </w:p>
    <w:bookmarkEnd w:id="52"/>
    <w:bookmarkEnd w:id="53"/>
    <w:p>
      <w:pPr>
        <w:snapToGrid w:val="0"/>
        <w:spacing w:before="240" w:beforeLines="100" w:after="240" w:afterLines="100"/>
        <w:jc w:val="center"/>
        <w:outlineLvl w:val="1"/>
        <w:rPr>
          <w:rFonts w:ascii="宋体" w:hAnsi="宋体"/>
          <w:color w:val="000000"/>
          <w:sz w:val="32"/>
          <w:szCs w:val="32"/>
        </w:rPr>
      </w:pPr>
      <w:bookmarkStart w:id="71" w:name="_Toc142628879"/>
      <w:bookmarkStart w:id="72" w:name="_Toc1285509824"/>
      <w:bookmarkStart w:id="73" w:name="_Toc1321577233"/>
      <w:bookmarkStart w:id="74" w:name="_Toc523788014"/>
      <w:bookmarkStart w:id="75" w:name="_Toc677531716"/>
      <w:bookmarkStart w:id="76" w:name="_Toc1754068189"/>
      <w:bookmarkStart w:id="77" w:name="_Toc163022750"/>
      <w:bookmarkStart w:id="78" w:name="_Toc1176449575"/>
      <w:r>
        <w:rPr>
          <w:rFonts w:hint="eastAsia" w:ascii="黑体" w:eastAsia="黑体"/>
          <w:sz w:val="28"/>
          <w:szCs w:val="28"/>
        </w:rPr>
        <w:t>（二）基层定报表式</w:t>
      </w:r>
      <w:bookmarkEnd w:id="71"/>
      <w:bookmarkEnd w:id="72"/>
      <w:bookmarkEnd w:id="73"/>
      <w:bookmarkEnd w:id="74"/>
      <w:bookmarkEnd w:id="75"/>
      <w:bookmarkEnd w:id="76"/>
      <w:bookmarkEnd w:id="77"/>
      <w:bookmarkEnd w:id="78"/>
      <w:bookmarkStart w:id="79" w:name="_Toc200131973"/>
      <w:bookmarkStart w:id="80" w:name="_Toc1185958581"/>
      <w:bookmarkStart w:id="81" w:name="_Toc505475351"/>
      <w:bookmarkStart w:id="82" w:name="_Toc424930532"/>
      <w:bookmarkStart w:id="83" w:name="_Toc1746668539"/>
      <w:bookmarkStart w:id="84" w:name="_Toc624346292"/>
      <w:bookmarkStart w:id="85" w:name="_Toc834418378"/>
      <w:r>
        <w:rPr>
          <w:rFonts w:hint="eastAsia" w:ascii="宋体" w:hAnsi="宋体"/>
          <w:color w:val="000000"/>
          <w:sz w:val="32"/>
          <w:szCs w:val="32"/>
        </w:rPr>
        <w:t>从业人员及工资总额</w:t>
      </w:r>
      <w:bookmarkEnd w:id="79"/>
      <w:bookmarkEnd w:id="80"/>
      <w:bookmarkEnd w:id="81"/>
      <w:bookmarkEnd w:id="82"/>
      <w:bookmarkEnd w:id="83"/>
      <w:bookmarkEnd w:id="84"/>
      <w:bookmarkEnd w:id="85"/>
    </w:p>
    <w:tbl>
      <w:tblPr>
        <w:tblStyle w:val="20"/>
        <w:tblW w:w="9414" w:type="dxa"/>
        <w:jc w:val="center"/>
        <w:tblLayout w:type="fixed"/>
        <w:tblCellMar>
          <w:top w:w="0" w:type="dxa"/>
          <w:left w:w="0" w:type="dxa"/>
          <w:bottom w:w="0" w:type="dxa"/>
          <w:right w:w="0" w:type="dxa"/>
        </w:tblCellMar>
      </w:tblPr>
      <w:tblGrid>
        <w:gridCol w:w="253"/>
        <w:gridCol w:w="615"/>
        <w:gridCol w:w="742"/>
        <w:gridCol w:w="666"/>
        <w:gridCol w:w="600"/>
        <w:gridCol w:w="673"/>
        <w:gridCol w:w="645"/>
        <w:gridCol w:w="630"/>
        <w:gridCol w:w="675"/>
        <w:gridCol w:w="660"/>
        <w:gridCol w:w="289"/>
        <w:gridCol w:w="362"/>
        <w:gridCol w:w="714"/>
        <w:gridCol w:w="95"/>
        <w:gridCol w:w="535"/>
        <w:gridCol w:w="630"/>
        <w:gridCol w:w="630"/>
        <w:tblGridChange w:id="3">
          <w:tblGrid>
            <w:gridCol w:w="253"/>
            <w:gridCol w:w="389"/>
            <w:gridCol w:w="226"/>
            <w:gridCol w:w="516"/>
            <w:gridCol w:w="226"/>
            <w:gridCol w:w="440"/>
            <w:gridCol w:w="226"/>
            <w:gridCol w:w="374"/>
            <w:gridCol w:w="226"/>
            <w:gridCol w:w="447"/>
            <w:gridCol w:w="226"/>
            <w:gridCol w:w="419"/>
            <w:gridCol w:w="226"/>
            <w:gridCol w:w="404"/>
            <w:gridCol w:w="226"/>
            <w:gridCol w:w="675"/>
            <w:gridCol w:w="660"/>
            <w:gridCol w:w="289"/>
            <w:gridCol w:w="362"/>
            <w:gridCol w:w="714"/>
            <w:gridCol w:w="95"/>
            <w:gridCol w:w="535"/>
            <w:gridCol w:w="630"/>
            <w:gridCol w:w="630"/>
          </w:tblGrid>
        </w:tblGridChange>
      </w:tblGrid>
      <w:tr>
        <w:tblPrEx>
          <w:tblCellMar>
            <w:top w:w="0" w:type="dxa"/>
            <w:left w:w="0" w:type="dxa"/>
            <w:bottom w:w="0" w:type="dxa"/>
            <w:right w:w="0" w:type="dxa"/>
          </w:tblCellMar>
        </w:tblPrEx>
        <w:trPr>
          <w:gridBefore w:val="1"/>
          <w:wBefore w:w="253" w:type="dxa"/>
          <w:trHeight w:val="90" w:hRule="atLeast"/>
          <w:jc w:val="center"/>
        </w:trPr>
        <w:tc>
          <w:tcPr>
            <w:tcW w:w="6195" w:type="dxa"/>
            <w:gridSpan w:val="10"/>
          </w:tcPr>
          <w:p>
            <w:pPr>
              <w:spacing w:line="220" w:lineRule="exact"/>
              <w:rPr>
                <w:rFonts w:ascii="宋体" w:hAnsi="宋体"/>
                <w:color w:val="000000"/>
                <w:sz w:val="18"/>
                <w:szCs w:val="18"/>
              </w:rPr>
            </w:pPr>
          </w:p>
        </w:tc>
        <w:tc>
          <w:tcPr>
            <w:tcW w:w="1171"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202－1表</w:t>
            </w:r>
          </w:p>
        </w:tc>
      </w:tr>
      <w:tr>
        <w:tblPrEx>
          <w:tblCellMar>
            <w:top w:w="0" w:type="dxa"/>
            <w:left w:w="0" w:type="dxa"/>
            <w:bottom w:w="0" w:type="dxa"/>
            <w:right w:w="0" w:type="dxa"/>
          </w:tblCellMar>
        </w:tblPrEx>
        <w:trPr>
          <w:gridBefore w:val="1"/>
          <w:wBefore w:w="253" w:type="dxa"/>
          <w:jc w:val="center"/>
        </w:trPr>
        <w:tc>
          <w:tcPr>
            <w:tcW w:w="6195" w:type="dxa"/>
            <w:gridSpan w:val="10"/>
          </w:tcPr>
          <w:p>
            <w:pPr>
              <w:spacing w:line="220" w:lineRule="exact"/>
              <w:rPr>
                <w:rFonts w:ascii="宋体" w:hAnsi="宋体"/>
                <w:color w:val="000000"/>
                <w:sz w:val="18"/>
                <w:szCs w:val="18"/>
              </w:rPr>
            </w:pPr>
          </w:p>
        </w:tc>
        <w:tc>
          <w:tcPr>
            <w:tcW w:w="1171"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tcMar>
              <w:left w:w="0" w:type="dxa"/>
              <w:right w:w="0" w:type="dxa"/>
            </w:tcMar>
            <w:vAlign w:val="center"/>
          </w:tcPr>
          <w:p>
            <w:pPr>
              <w:spacing w:line="220" w:lineRule="exact"/>
              <w:jc w:val="distribute"/>
              <w:rPr>
                <w:rFonts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53" w:type="dxa"/>
          <w:jc w:val="center"/>
        </w:trPr>
        <w:tc>
          <w:tcPr>
            <w:tcW w:w="6195" w:type="dxa"/>
            <w:gridSpan w:val="10"/>
          </w:tcPr>
          <w:p>
            <w:pPr>
              <w:spacing w:line="220" w:lineRule="exact"/>
              <w:rPr>
                <w:rFonts w:ascii="宋体" w:hAnsi="宋体"/>
                <w:color w:val="000000"/>
                <w:sz w:val="18"/>
                <w:szCs w:val="18"/>
              </w:rPr>
            </w:pPr>
            <w:r>
              <w:rPr>
                <w:rFonts w:hint="eastAsia" w:ascii="宋体" w:hAnsi="宋体" w:cs="宋体"/>
                <w:color w:val="000000"/>
                <w:sz w:val="18"/>
                <w:szCs w:val="18"/>
              </w:rPr>
              <w:t>统一社会信用代码□□□□□□□□□□□□□□□□□□</w:t>
            </w:r>
          </w:p>
        </w:tc>
        <w:tc>
          <w:tcPr>
            <w:tcW w:w="1171"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sz w:val="18"/>
                <w:szCs w:val="18"/>
              </w:rPr>
              <w:t>国统字〔2024〕77号</w:t>
            </w:r>
          </w:p>
        </w:tc>
      </w:tr>
      <w:tr>
        <w:tblPrEx>
          <w:tblCellMar>
            <w:top w:w="0" w:type="dxa"/>
            <w:left w:w="0" w:type="dxa"/>
            <w:bottom w:w="0" w:type="dxa"/>
            <w:right w:w="0" w:type="dxa"/>
          </w:tblCellMar>
        </w:tblPrEx>
        <w:trPr>
          <w:gridBefore w:val="1"/>
          <w:wBefore w:w="253" w:type="dxa"/>
          <w:jc w:val="center"/>
        </w:trPr>
        <w:tc>
          <w:tcPr>
            <w:tcW w:w="6195" w:type="dxa"/>
            <w:gridSpan w:val="10"/>
          </w:tcPr>
          <w:p>
            <w:pPr>
              <w:spacing w:line="220" w:lineRule="exact"/>
              <w:rPr>
                <w:rFonts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1171"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2026年1</w:t>
            </w:r>
            <w:r>
              <w:rPr>
                <w:rFonts w:hint="eastAsia" w:ascii="宋体" w:hAnsi="宋体"/>
                <w:color w:val="000000"/>
                <w:sz w:val="18"/>
                <w:szCs w:val="18"/>
              </w:rPr>
              <w:t>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868" w:type="dxa"/>
            <w:gridSpan w:val="2"/>
            <w:vMerge w:val="restart"/>
            <w:tcBorders>
              <w:top w:val="single" w:color="auto" w:sz="8"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人员情况</w:t>
            </w:r>
          </w:p>
        </w:tc>
        <w:tc>
          <w:tcPr>
            <w:tcW w:w="2604" w:type="dxa"/>
            <w:gridSpan w:val="5"/>
            <w:tcBorders>
              <w:top w:val="single" w:color="auto" w:sz="8"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8"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c>
          <w:tcPr>
            <w:tcW w:w="742"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从业人员期末人数(人)</w:t>
            </w:r>
          </w:p>
        </w:tc>
        <w:tc>
          <w:tcPr>
            <w:tcW w:w="2584" w:type="dxa"/>
            <w:gridSpan w:val="4"/>
            <w:tcBorders>
              <w:top w:val="single" w:color="auto" w:sz="2" w:space="0"/>
              <w:left w:val="nil"/>
              <w:bottom w:val="single" w:color="auto" w:sz="2" w:space="0"/>
              <w:right w:val="single" w:color="auto" w:sz="4" w:space="0"/>
            </w:tcBorders>
            <w:vAlign w:val="center"/>
          </w:tcPr>
          <w:p>
            <w:pPr>
              <w:jc w:val="center"/>
              <w:rPr>
                <w:rFonts w:ascii="宋体" w:hAnsi="宋体" w:cs="宋体"/>
                <w:color w:val="000000"/>
                <w:sz w:val="18"/>
                <w:szCs w:val="18"/>
              </w:rPr>
            </w:pPr>
          </w:p>
        </w:tc>
        <w:tc>
          <w:tcPr>
            <w:tcW w:w="630" w:type="dxa"/>
            <w:vMerge w:val="restart"/>
            <w:tcBorders>
              <w:top w:val="single" w:color="auto" w:sz="2" w:space="0"/>
              <w:left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从业人员平均人数(人)</w:t>
            </w:r>
          </w:p>
        </w:tc>
        <w:tc>
          <w:tcPr>
            <w:tcW w:w="1986" w:type="dxa"/>
            <w:gridSpan w:val="4"/>
            <w:tcBorders>
              <w:top w:val="single" w:color="auto" w:sz="2" w:space="0"/>
              <w:left w:val="nil"/>
              <w:bottom w:val="single" w:color="auto" w:sz="2" w:space="0"/>
              <w:right w:val="single" w:color="auto" w:sz="4" w:space="0"/>
            </w:tcBorders>
            <w:vAlign w:val="center"/>
          </w:tcPr>
          <w:p>
            <w:pPr>
              <w:jc w:val="center"/>
              <w:rPr>
                <w:rFonts w:ascii="宋体" w:hAnsi="宋体" w:cs="宋体"/>
                <w:color w:val="000000"/>
                <w:sz w:val="18"/>
                <w:szCs w:val="18"/>
              </w:rPr>
            </w:pPr>
          </w:p>
        </w:tc>
        <w:tc>
          <w:tcPr>
            <w:tcW w:w="714" w:type="dxa"/>
            <w:vMerge w:val="restart"/>
            <w:tcBorders>
              <w:top w:val="single" w:color="auto" w:sz="2" w:space="0"/>
              <w:left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从业人员工资总额</w:t>
            </w:r>
          </w:p>
          <w:p>
            <w:pPr>
              <w:jc w:val="center"/>
              <w:rPr>
                <w:rFonts w:ascii="宋体" w:hAnsi="宋体" w:cs="宋体"/>
                <w:color w:val="000000"/>
                <w:sz w:val="18"/>
                <w:szCs w:val="18"/>
              </w:rPr>
            </w:pPr>
            <w:r>
              <w:rPr>
                <w:rFonts w:hint="eastAsia" w:ascii="宋体" w:hAnsi="宋体" w:cs="宋体"/>
                <w:color w:val="000000"/>
                <w:sz w:val="18"/>
                <w:szCs w:val="18"/>
              </w:rPr>
              <w:t>(千元)</w:t>
            </w:r>
          </w:p>
        </w:tc>
        <w:tc>
          <w:tcPr>
            <w:tcW w:w="1890" w:type="dxa"/>
            <w:gridSpan w:val="4"/>
            <w:tcBorders>
              <w:top w:val="single" w:color="auto" w:sz="2" w:space="0"/>
              <w:left w:val="nil"/>
              <w:bottom w:val="single" w:color="auto" w:sz="2" w:space="0"/>
              <w:right w:val="nil"/>
            </w:tcBorders>
            <w:vAlign w:val="center"/>
          </w:tcPr>
          <w:p>
            <w:pP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68"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其中，女性</w:t>
            </w:r>
          </w:p>
        </w:tc>
        <w:tc>
          <w:tcPr>
            <w:tcW w:w="191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630" w:type="dxa"/>
            <w:vMerge w:val="continue"/>
            <w:tcBorders>
              <w:left w:val="single" w:color="auto" w:sz="4" w:space="0"/>
              <w:right w:val="nil"/>
            </w:tcBorders>
            <w:vAlign w:val="center"/>
          </w:tcPr>
          <w:p>
            <w:pPr>
              <w:jc w:val="center"/>
              <w:rPr>
                <w:rFonts w:ascii="宋体" w:hAnsi="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714" w:type="dxa"/>
            <w:vMerge w:val="continue"/>
            <w:tcBorders>
              <w:left w:val="single" w:color="auto" w:sz="2" w:space="0"/>
              <w:right w:val="single" w:color="auto" w:sz="4" w:space="0"/>
            </w:tcBorders>
            <w:vAlign w:val="center"/>
          </w:tcPr>
          <w:p>
            <w:pPr>
              <w:jc w:val="center"/>
              <w:rPr>
                <w:rFonts w:ascii="宋体" w:hAnsi="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8"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7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63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60" w:type="dxa"/>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51" w:type="dxa"/>
            <w:gridSpan w:val="2"/>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714" w:type="dxa"/>
            <w:vMerge w:val="continue"/>
            <w:tcBorders>
              <w:left w:val="single" w:color="auto" w:sz="2" w:space="0"/>
              <w:bottom w:val="single" w:color="auto" w:sz="4" w:space="0"/>
              <w:right w:val="single" w:color="auto" w:sz="4" w:space="0"/>
            </w:tcBorders>
            <w:vAlign w:val="center"/>
          </w:tcPr>
          <w:p>
            <w:pPr>
              <w:jc w:val="center"/>
              <w:rPr>
                <w:rFonts w:ascii="宋体" w:hAnsi="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30" w:type="dxa"/>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30" w:type="dxa"/>
            <w:tcBorders>
              <w:top w:val="single" w:color="auto" w:sz="4" w:space="0"/>
              <w:left w:val="single" w:color="auto" w:sz="2" w:space="0"/>
              <w:bottom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1月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2月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3月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4月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5月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6月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7月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8月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9月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nil"/>
              <w:right w:val="single" w:color="auto" w:sz="2" w:space="0"/>
            </w:tcBorders>
            <w:shd w:val="clear" w:color="auto" w:fill="BEBEBE" w:themeFill="background1" w:themeFillShade="BF"/>
            <w:noWrap/>
            <w:vAlign w:val="center"/>
          </w:tcPr>
          <w:p>
            <w:pPr>
              <w:jc w:val="center"/>
            </w:pPr>
            <w:r>
              <w:rPr>
                <w:rFonts w:hint="eastAsia" w:ascii="宋体" w:hAnsi="宋体" w:cs="宋体"/>
                <w:color w:val="auto"/>
                <w:sz w:val="18"/>
                <w:szCs w:val="18"/>
              </w:rPr>
              <w:t>本季</w:t>
            </w:r>
          </w:p>
        </w:tc>
        <w:tc>
          <w:tcPr>
            <w:tcW w:w="742"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0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7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4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7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6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51"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71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tcBorders>
              <w:top w:val="nil"/>
              <w:left w:val="single" w:color="auto" w:sz="2" w:space="0"/>
              <w:bottom w:val="nil"/>
              <w:right w:val="nil"/>
            </w:tcBorders>
            <w:shd w:val="clear" w:color="auto" w:fill="BEBEBE" w:themeFill="background1" w:themeFillShade="BF"/>
            <w:noWrap/>
            <w:vAlign w:val="center"/>
          </w:tcPr>
          <w:p>
            <w:pPr>
              <w:jc w:val="center"/>
              <w:rPr>
                <w:rFonts w:ascii="宋体" w:hAnsi="宋体" w:cs="宋体"/>
                <w:color w:val="auto"/>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68"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pPr>
            <w:r>
              <w:rPr>
                <w:rFonts w:ascii="宋体" w:hAnsi="宋体" w:cs="宋体"/>
                <w:color w:val="auto"/>
                <w:sz w:val="18"/>
                <w:szCs w:val="18"/>
              </w:rPr>
              <w:t>1-本季</w:t>
            </w:r>
          </w:p>
        </w:tc>
        <w:tc>
          <w:tcPr>
            <w:tcW w:w="74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0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7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4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7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6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5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71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auto"/>
                <w:sz w:val="18"/>
                <w:szCs w:val="18"/>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rFonts w:ascii="宋体" w:hAnsi="宋体" w:cs="宋体"/>
                <w:color w:val="auto"/>
                <w:sz w:val="18"/>
                <w:szCs w:val="18"/>
              </w:rPr>
            </w:pPr>
          </w:p>
        </w:tc>
      </w:tr>
    </w:tbl>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 续表</w:t>
      </w:r>
    </w:p>
    <w:tbl>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737"/>
        <w:gridCol w:w="213"/>
        <w:gridCol w:w="717"/>
        <w:gridCol w:w="233"/>
        <w:gridCol w:w="950"/>
        <w:gridCol w:w="950"/>
        <w:gridCol w:w="86"/>
        <w:gridCol w:w="864"/>
        <w:gridCol w:w="171"/>
        <w:gridCol w:w="780"/>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exact"/>
        </w:trPr>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37"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30"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exact"/>
        </w:trPr>
        <w:tc>
          <w:tcPr>
            <w:tcW w:w="2772"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924"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从业人员平均工资(元)</w:t>
            </w:r>
          </w:p>
        </w:tc>
        <w:tc>
          <w:tcPr>
            <w:tcW w:w="737"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30" w:type="dxa"/>
            <w:gridSpan w:val="2"/>
            <w:vMerge w:val="restart"/>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2772"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2851" w:type="dxa"/>
            <w:gridSpan w:val="5"/>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4" w:type="dxa"/>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w:t>
            </w:r>
          </w:p>
          <w:p>
            <w:pPr>
              <w:jc w:val="center"/>
              <w:rPr>
                <w:rFonts w:ascii="宋体" w:hAnsi="宋体" w:cs="宋体"/>
                <w:color w:val="000000"/>
                <w:sz w:val="18"/>
                <w:szCs w:val="18"/>
              </w:rPr>
            </w:pPr>
            <w:r>
              <w:rPr>
                <w:rFonts w:hint="eastAsia" w:ascii="宋体" w:hAnsi="宋体" w:cs="宋体"/>
                <w:color w:val="000000"/>
                <w:sz w:val="18"/>
                <w:szCs w:val="18"/>
              </w:rPr>
              <w:t>工资</w:t>
            </w:r>
          </w:p>
        </w:tc>
        <w:tc>
          <w:tcPr>
            <w:tcW w:w="92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rFonts w:ascii="宋体" w:hAnsi="宋体" w:cs="宋体"/>
                <w:color w:val="000000"/>
                <w:sz w:val="18"/>
                <w:szCs w:val="18"/>
              </w:rPr>
            </w:pPr>
            <w:r>
              <w:rPr>
                <w:rFonts w:hint="eastAsia" w:ascii="宋体" w:hAnsi="宋体" w:cs="宋体"/>
                <w:color w:val="000000"/>
                <w:sz w:val="18"/>
                <w:szCs w:val="18"/>
              </w:rPr>
              <w:t>奖金</w:t>
            </w:r>
          </w:p>
        </w:tc>
        <w:tc>
          <w:tcPr>
            <w:tcW w:w="92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劳务派遣人员</w:t>
            </w:r>
          </w:p>
        </w:tc>
        <w:tc>
          <w:tcPr>
            <w:tcW w:w="950" w:type="dxa"/>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其他从业人员</w:t>
            </w:r>
          </w:p>
        </w:tc>
        <w:tc>
          <w:tcPr>
            <w:tcW w:w="950"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正常工资</w:t>
            </w:r>
          </w:p>
        </w:tc>
        <w:tc>
          <w:tcPr>
            <w:tcW w:w="950"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color w:val="000000"/>
              </w:rPr>
            </w:pPr>
            <w:r>
              <w:rPr>
                <w:rFonts w:hint="eastAsia" w:ascii="宋体" w:hAnsi="宋体" w:cs="宋体"/>
                <w:color w:val="000000"/>
                <w:sz w:val="18"/>
                <w:szCs w:val="18"/>
              </w:rPr>
              <w:t>奖金</w:t>
            </w:r>
          </w:p>
        </w:tc>
        <w:tc>
          <w:tcPr>
            <w:tcW w:w="951"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924" w:type="dxa"/>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22</w:t>
            </w:r>
          </w:p>
        </w:tc>
        <w:tc>
          <w:tcPr>
            <w:tcW w:w="950" w:type="dxa"/>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950" w:type="dxa"/>
            <w:gridSpan w:val="2"/>
            <w:tcBorders>
              <w:top w:val="single" w:color="auto" w:sz="2" w:space="0"/>
              <w:left w:val="single" w:color="auto" w:sz="4" w:space="0"/>
              <w:bottom w:val="single" w:color="auto" w:sz="2" w:space="0"/>
              <w:right w:val="nil"/>
            </w:tcBorders>
            <w:noWrap/>
            <w:vAlign w:val="center"/>
          </w:tcPr>
          <w:p>
            <w:pPr>
              <w:jc w:val="center"/>
              <w:rPr>
                <w:color w:val="000000"/>
              </w:rPr>
            </w:pPr>
            <w:r>
              <w:rPr>
                <w:rFonts w:hint="eastAsia" w:ascii="宋体" w:hAnsi="宋体" w:cs="宋体"/>
                <w:color w:val="000000"/>
                <w:sz w:val="18"/>
                <w:szCs w:val="18"/>
              </w:rPr>
              <w:t>25</w:t>
            </w:r>
          </w:p>
        </w:tc>
        <w:tc>
          <w:tcPr>
            <w:tcW w:w="951" w:type="dxa"/>
            <w:gridSpan w:val="2"/>
            <w:tcBorders>
              <w:top w:val="single" w:color="auto" w:sz="2" w:space="0"/>
              <w:left w:val="single" w:color="auto" w:sz="4" w:space="0"/>
              <w:bottom w:val="single" w:color="auto" w:sz="2"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BEBEBE" w:themeFill="background1" w:themeFillShade="BF"/>
            <w:noWrap/>
            <w:vAlign w:val="center"/>
          </w:tcPr>
          <w:p>
            <w:pPr>
              <w:jc w:val="center"/>
            </w:pPr>
          </w:p>
          <w:p>
            <w:pPr>
              <w:pStyle w:val="2"/>
              <w:ind w:left="420" w:firstLine="420"/>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000000" w:sz="8" w:space="0"/>
              <w:right w:val="single" w:color="auto" w:sz="2" w:space="0"/>
            </w:tcBorders>
            <w:shd w:val="clear" w:color="auto" w:fill="BEBEBE" w:themeFill="background1" w:themeFillShade="BF"/>
            <w:noWrap/>
            <w:vAlign w:val="center"/>
          </w:tcPr>
          <w:p>
            <w:pPr>
              <w:pStyle w:val="2"/>
              <w:ind w:left="420" w:firstLine="420"/>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c>
          <w:tcPr>
            <w:tcW w:w="951"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r>
    </w:tbl>
    <w:p>
      <w:pPr>
        <w:kinsoku w:val="0"/>
        <w:overflowPunct w:val="0"/>
        <w:adjustRightInd w:val="0"/>
        <w:snapToGrid w:val="0"/>
        <w:spacing w:line="240" w:lineRule="exact"/>
        <w:ind w:left="0" w:leftChars="0" w:firstLine="0" w:firstLineChars="0"/>
        <w:rPr>
          <w:rFonts w:ascii="宋体"/>
          <w:color w:val="000000"/>
          <w:sz w:val="18"/>
        </w:rPr>
      </w:pPr>
      <w:r>
        <w:rPr>
          <w:rFonts w:hint="eastAsia" w:ascii="宋体" w:hAnsi="宋体" w:cs="宋体"/>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before="120" w:beforeLines="50" w:line="230" w:lineRule="exact"/>
        <w:ind w:left="1619" w:leftChars="-1" w:hanging="1621" w:hangingChars="901"/>
        <w:jc w:val="left"/>
        <w:rPr>
          <w:rFonts w:ascii="宋体"/>
          <w:color w:val="000000"/>
          <w:sz w:val="18"/>
        </w:rPr>
      </w:pPr>
      <w:r>
        <w:rPr>
          <w:rFonts w:hint="eastAsia" w:ascii="宋体" w:hAnsi="宋体" w:cs="宋体"/>
          <w:bCs/>
          <w:color w:val="000000"/>
          <w:kern w:val="0"/>
          <w:sz w:val="18"/>
          <w:szCs w:val="18"/>
        </w:rPr>
        <w:t>说明：1.统计范围：</w:t>
      </w:r>
      <w:r>
        <w:rPr>
          <w:rFonts w:hint="eastAsia" w:ascii="宋体" w:hAnsi="宋体"/>
          <w:sz w:val="18"/>
          <w:szCs w:val="18"/>
        </w:rPr>
        <w:t>辖区内规模以上工业、有资质的建筑业、限额以上批发和零售业、限额以上住宿和餐饮业、有开发经营活动的全部房地产开发经营业、规模以上服务业法人单位</w:t>
      </w:r>
      <w:r>
        <w:rPr>
          <w:rFonts w:hint="eastAsia" w:ascii="宋体" w:hAnsi="宋体"/>
          <w:sz w:val="18"/>
          <w:szCs w:val="18"/>
        </w:rPr>
        <w:t>中抽中的样本法人单位</w:t>
      </w:r>
      <w:r>
        <w:rPr>
          <w:rFonts w:hint="eastAsia" w:ascii="宋体" w:hAnsi="宋体"/>
          <w:color w:val="000000"/>
          <w:sz w:val="18"/>
          <w:szCs w:val="18"/>
        </w:rPr>
        <w:t>。</w:t>
      </w:r>
    </w:p>
    <w:p>
      <w:pPr>
        <w:snapToGrid w:val="0"/>
        <w:spacing w:line="230" w:lineRule="exact"/>
        <w:ind w:left="2160" w:leftChars="257" w:hanging="1620" w:hangingChars="900"/>
        <w:jc w:val="left"/>
        <w:rPr>
          <w:rFonts w:ascii="宋体"/>
          <w:color w:val="000000"/>
          <w:sz w:val="18"/>
          <w:highlight w:val="none"/>
        </w:rPr>
      </w:pPr>
      <w:r>
        <w:rPr>
          <w:rFonts w:hint="eastAsia" w:ascii="宋体" w:hAnsi="宋体" w:cs="宋体"/>
          <w:bCs/>
          <w:color w:val="000000"/>
          <w:kern w:val="0"/>
          <w:sz w:val="18"/>
          <w:szCs w:val="18"/>
        </w:rPr>
        <w:t>2.报送日期及方式：一季度、二季度季后1日，三季度9月30日0:00开网；</w:t>
      </w:r>
      <w:r>
        <w:rPr>
          <w:rFonts w:hint="eastAsia" w:ascii="宋体"/>
          <w:color w:val="000000"/>
          <w:sz w:val="18"/>
        </w:rPr>
        <w:t>调查单位</w:t>
      </w:r>
      <w:r>
        <w:rPr>
          <w:rFonts w:hint="eastAsia" w:ascii="宋体" w:hAnsi="宋体" w:cs="宋体"/>
          <w:bCs/>
          <w:color w:val="000000"/>
          <w:kern w:val="0"/>
          <w:sz w:val="18"/>
          <w:szCs w:val="18"/>
        </w:rPr>
        <w:t>一季度季后8日，二季度季后7日，三季度季后1</w:t>
      </w:r>
      <w:r>
        <w:rPr>
          <w:rFonts w:ascii="宋体" w:hAnsi="宋体" w:cs="宋体"/>
          <w:bCs/>
          <w:color w:val="000000"/>
          <w:kern w:val="0"/>
          <w:sz w:val="18"/>
          <w:szCs w:val="18"/>
        </w:rPr>
        <w:t>4</w:t>
      </w:r>
      <w:r>
        <w:rPr>
          <w:rFonts w:hint="eastAsia" w:ascii="宋体" w:hAnsi="宋体" w:cs="宋体"/>
          <w:bCs/>
          <w:color w:val="000000"/>
          <w:kern w:val="0"/>
          <w:sz w:val="18"/>
          <w:szCs w:val="18"/>
        </w:rPr>
        <w:t>日</w:t>
      </w:r>
      <w:r>
        <w:rPr>
          <w:rFonts w:hint="eastAsia" w:ascii="宋体"/>
          <w:color w:val="000000"/>
          <w:sz w:val="18"/>
        </w:rPr>
        <w:t>12:00前独立自行网上填报，四季度免报；市</w:t>
      </w:r>
      <w:r>
        <w:rPr>
          <w:rFonts w:hint="eastAsia" w:ascii="宋体"/>
          <w:color w:val="000000"/>
          <w:sz w:val="18"/>
          <w:highlight w:val="none"/>
        </w:rPr>
        <w:t>级统计机构季后</w:t>
      </w:r>
      <w:r>
        <w:rPr>
          <w:rFonts w:ascii="宋体"/>
          <w:color w:val="000000"/>
          <w:sz w:val="18"/>
        </w:rPr>
        <w:t>19</w:t>
      </w:r>
      <w:r>
        <w:rPr>
          <w:rFonts w:hint="eastAsia" w:ascii="宋体"/>
          <w:color w:val="000000"/>
          <w:sz w:val="18"/>
          <w:highlight w:val="none"/>
        </w:rPr>
        <w:t>日</w:t>
      </w:r>
      <w:r>
        <w:rPr>
          <w:rFonts w:ascii="宋体"/>
          <w:color w:val="000000"/>
          <w:sz w:val="18"/>
          <w:highlight w:val="none"/>
        </w:rPr>
        <w:t>24</w:t>
      </w:r>
      <w:r>
        <w:rPr>
          <w:rFonts w:hint="eastAsia" w:ascii="宋体"/>
          <w:color w:val="000000"/>
          <w:sz w:val="18"/>
          <w:highlight w:val="none"/>
        </w:rPr>
        <w:t>:00前完成数据的审核、验收、上报。</w:t>
      </w:r>
    </w:p>
    <w:p>
      <w:pPr>
        <w:snapToGrid w:val="0"/>
        <w:spacing w:line="230" w:lineRule="exact"/>
        <w:ind w:left="723" w:leftChars="257" w:hanging="183" w:hangingChars="102"/>
        <w:jc w:val="left"/>
        <w:rPr>
          <w:rFonts w:ascii="宋体"/>
          <w:color w:val="000000"/>
          <w:sz w:val="18"/>
        </w:rPr>
      </w:pPr>
      <w:r>
        <w:rPr>
          <w:rFonts w:hint="eastAsia" w:ascii="宋体"/>
          <w:color w:val="000000"/>
          <w:sz w:val="18"/>
        </w:rPr>
        <w:t>3.从业人员平均工资由联网直报平台根据调查单位填报数据计算生成，</w:t>
      </w:r>
      <w:r>
        <w:rPr>
          <w:rFonts w:hint="eastAsia" w:ascii="宋体" w:hAnsi="宋体" w:cs="宋体"/>
          <w:color w:val="000000"/>
          <w:sz w:val="18"/>
          <w:szCs w:val="18"/>
        </w:rPr>
        <w:t>从业人员期末人数、从业人员平均人数、从业人员工资总额、从业人员平均工资及其分组</w:t>
      </w:r>
      <w:r>
        <w:rPr>
          <w:rFonts w:hint="eastAsia" w:ascii="宋体"/>
          <w:color w:val="000000"/>
          <w:sz w:val="18"/>
        </w:rPr>
        <w:t>的“本季”和“1-本季”累计数由联网直报平台根据调查单位填报数据计算生成，调查单位无需填写。</w:t>
      </w:r>
    </w:p>
    <w:p>
      <w:pPr>
        <w:snapToGrid w:val="0"/>
        <w:spacing w:line="230" w:lineRule="exact"/>
        <w:ind w:left="2160" w:leftChars="257" w:hanging="1620" w:hangingChars="900"/>
        <w:jc w:val="left"/>
        <w:rPr>
          <w:rFonts w:ascii="宋体"/>
          <w:color w:val="000000"/>
          <w:sz w:val="18"/>
        </w:rPr>
      </w:pPr>
      <w:r>
        <w:rPr>
          <w:rFonts w:hint="eastAsia" w:ascii="宋体"/>
          <w:color w:val="000000"/>
          <w:sz w:val="18"/>
        </w:rPr>
        <w:t>4.工资总额按实际发放时间填报，但预发工资需填报在应发月份。</w:t>
      </w:r>
    </w:p>
    <w:p>
      <w:pPr>
        <w:snapToGrid w:val="0"/>
        <w:spacing w:line="230" w:lineRule="exact"/>
        <w:ind w:left="723" w:leftChars="257" w:hanging="183" w:hangingChars="102"/>
        <w:jc w:val="left"/>
      </w:pPr>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30" w:lineRule="exact"/>
        <w:ind w:left="723" w:leftChars="257" w:hanging="183" w:hangingChars="102"/>
        <w:jc w:val="left"/>
        <w:rPr>
          <w:rFonts w:ascii="宋体"/>
          <w:color w:val="000000"/>
          <w:sz w:val="18"/>
        </w:rPr>
      </w:pPr>
      <w:r>
        <w:rPr>
          <w:rFonts w:ascii="宋体"/>
          <w:color w:val="000000"/>
          <w:sz w:val="18"/>
          <w:lang w:val="en"/>
        </w:rPr>
        <w:t>6</w:t>
      </w:r>
      <w:r>
        <w:rPr>
          <w:rFonts w:hint="eastAsia" w:ascii="宋体"/>
          <w:color w:val="000000"/>
          <w:sz w:val="18"/>
        </w:rPr>
        <w:t>.确定性审核关系：</w:t>
      </w:r>
    </w:p>
    <w:p>
      <w:pPr>
        <w:snapToGrid w:val="0"/>
        <w:spacing w:line="230" w:lineRule="exact"/>
        <w:ind w:firstLine="720" w:firstLineChars="400"/>
        <w:jc w:val="left"/>
        <w:rPr>
          <w:rFonts w:ascii="宋体" w:hAnsi="宋体" w:cs="宋体"/>
          <w:bCs/>
          <w:color w:val="000000"/>
          <w:kern w:val="0"/>
          <w:sz w:val="18"/>
          <w:szCs w:val="18"/>
        </w:rPr>
      </w:pPr>
      <w:r>
        <w:rPr>
          <w:rFonts w:hint="eastAsia" w:ascii="宋体" w:hAnsi="宋体" w:cs="宋体"/>
          <w:color w:val="000000"/>
          <w:kern w:val="0"/>
          <w:sz w:val="18"/>
          <w:szCs w:val="18"/>
        </w:rPr>
        <w:t xml:space="preserve">（1）01≥02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（2）01=04+05+06     （3）08=09+10+11      （4）12=13+18+19   </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（5）12=14+15+16</w:t>
      </w:r>
      <w:r>
        <w:rPr>
          <w:rFonts w:ascii="宋体" w:hAnsi="宋体" w:cs="宋体"/>
          <w:color w:val="000000"/>
          <w:kern w:val="0"/>
          <w:sz w:val="18"/>
          <w:szCs w:val="18"/>
        </w:rPr>
        <w:t xml:space="preserve"> </w:t>
      </w:r>
    </w:p>
    <w:p>
      <w:pPr>
        <w:snapToGrid w:val="0"/>
        <w:spacing w:before="240" w:beforeLines="100" w:after="240" w:afterLines="100" w:line="0" w:lineRule="atLeast"/>
        <w:jc w:val="center"/>
        <w:outlineLvl w:val="2"/>
        <w:rPr>
          <w:rFonts w:ascii="宋体"/>
          <w:color w:val="000000"/>
          <w:sz w:val="18"/>
        </w:rPr>
      </w:pPr>
    </w:p>
    <w:p>
      <w:pPr>
        <w:snapToGrid w:val="0"/>
        <w:spacing w:before="240" w:beforeLines="100" w:after="240" w:afterLines="100" w:line="0" w:lineRule="atLeast"/>
        <w:jc w:val="center"/>
        <w:outlineLvl w:val="2"/>
        <w:rPr>
          <w:rFonts w:ascii="宋体" w:hAnsi="宋体"/>
          <w:color w:val="000000"/>
          <w:sz w:val="32"/>
          <w:szCs w:val="32"/>
        </w:rPr>
      </w:pPr>
      <w:bookmarkStart w:id="86" w:name="_Toc1730941988"/>
      <w:bookmarkStart w:id="87" w:name="_Toc988395300"/>
      <w:bookmarkStart w:id="88" w:name="_Toc1448486568"/>
      <w:bookmarkStart w:id="89" w:name="_Toc568283051"/>
      <w:bookmarkStart w:id="90" w:name="_Toc1291722561"/>
      <w:bookmarkStart w:id="91" w:name="_Toc1131024179"/>
      <w:bookmarkStart w:id="92" w:name="_Toc526631114"/>
      <w:bookmarkStart w:id="93" w:name="_Toc673278536"/>
      <w:r>
        <w:rPr>
          <w:rFonts w:hint="eastAsia" w:ascii="宋体" w:hAnsi="宋体"/>
          <w:color w:val="000000"/>
          <w:sz w:val="32"/>
          <w:szCs w:val="32"/>
        </w:rPr>
        <w:t>从业人员及工资总额</w:t>
      </w:r>
      <w:bookmarkEnd w:id="86"/>
      <w:bookmarkEnd w:id="87"/>
      <w:bookmarkEnd w:id="88"/>
      <w:bookmarkEnd w:id="89"/>
      <w:bookmarkEnd w:id="90"/>
      <w:bookmarkEnd w:id="91"/>
      <w:bookmarkEnd w:id="92"/>
      <w:bookmarkEnd w:id="93"/>
    </w:p>
    <w:tbl>
      <w:tblPr>
        <w:tblStyle w:val="20"/>
        <w:tblW w:w="9500" w:type="dxa"/>
        <w:jc w:val="center"/>
        <w:tblLayout w:type="fixed"/>
        <w:tblCellMar>
          <w:top w:w="0" w:type="dxa"/>
          <w:left w:w="0" w:type="dxa"/>
          <w:bottom w:w="0" w:type="dxa"/>
          <w:right w:w="0" w:type="dxa"/>
        </w:tblCellMar>
      </w:tblPr>
      <w:tblGrid>
        <w:gridCol w:w="339"/>
        <w:gridCol w:w="615"/>
        <w:gridCol w:w="742"/>
        <w:gridCol w:w="666"/>
        <w:gridCol w:w="600"/>
        <w:gridCol w:w="673"/>
        <w:gridCol w:w="645"/>
        <w:gridCol w:w="630"/>
        <w:gridCol w:w="675"/>
        <w:gridCol w:w="660"/>
        <w:gridCol w:w="424"/>
        <w:gridCol w:w="227"/>
        <w:gridCol w:w="714"/>
        <w:gridCol w:w="95"/>
        <w:gridCol w:w="535"/>
        <w:gridCol w:w="630"/>
        <w:gridCol w:w="630"/>
        <w:tblGridChange w:id="4">
          <w:tblGrid>
            <w:gridCol w:w="339"/>
            <w:gridCol w:w="303"/>
            <w:gridCol w:w="312"/>
            <w:gridCol w:w="430"/>
            <w:gridCol w:w="312"/>
            <w:gridCol w:w="354"/>
            <w:gridCol w:w="312"/>
            <w:gridCol w:w="288"/>
            <w:gridCol w:w="312"/>
            <w:gridCol w:w="361"/>
            <w:gridCol w:w="312"/>
            <w:gridCol w:w="333"/>
            <w:gridCol w:w="312"/>
            <w:gridCol w:w="318"/>
            <w:gridCol w:w="312"/>
            <w:gridCol w:w="675"/>
            <w:gridCol w:w="660"/>
            <w:gridCol w:w="424"/>
            <w:gridCol w:w="227"/>
            <w:gridCol w:w="714"/>
            <w:gridCol w:w="95"/>
            <w:gridCol w:w="535"/>
            <w:gridCol w:w="630"/>
            <w:gridCol w:w="630"/>
          </w:tblGrid>
        </w:tblGridChange>
      </w:tblGrid>
      <w:tr>
        <w:tblPrEx>
          <w:tblCellMar>
            <w:top w:w="0" w:type="dxa"/>
            <w:left w:w="0" w:type="dxa"/>
            <w:bottom w:w="0" w:type="dxa"/>
            <w:right w:w="0" w:type="dxa"/>
          </w:tblCellMar>
        </w:tblPrEx>
        <w:trPr>
          <w:gridBefore w:val="1"/>
          <w:wBefore w:w="339" w:type="dxa"/>
          <w:trHeight w:val="90" w:hRule="atLeast"/>
          <w:jc w:val="center"/>
        </w:trPr>
        <w:tc>
          <w:tcPr>
            <w:tcW w:w="6330" w:type="dxa"/>
            <w:gridSpan w:val="10"/>
          </w:tcPr>
          <w:p>
            <w:pPr>
              <w:spacing w:line="220" w:lineRule="exact"/>
              <w:rPr>
                <w:rFonts w:ascii="宋体" w:hAnsi="宋体"/>
                <w:color w:val="000000"/>
                <w:sz w:val="18"/>
                <w:szCs w:val="18"/>
              </w:rPr>
            </w:pPr>
          </w:p>
        </w:tc>
        <w:tc>
          <w:tcPr>
            <w:tcW w:w="1036"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 xml:space="preserve"> I202－2表</w:t>
            </w:r>
          </w:p>
        </w:tc>
      </w:tr>
      <w:tr>
        <w:tblPrEx>
          <w:tblCellMar>
            <w:top w:w="0" w:type="dxa"/>
            <w:left w:w="0" w:type="dxa"/>
            <w:bottom w:w="0" w:type="dxa"/>
            <w:right w:w="0" w:type="dxa"/>
          </w:tblCellMar>
        </w:tblPrEx>
        <w:trPr>
          <w:gridBefore w:val="1"/>
          <w:wBefore w:w="339" w:type="dxa"/>
          <w:jc w:val="center"/>
        </w:trPr>
        <w:tc>
          <w:tcPr>
            <w:tcW w:w="6330" w:type="dxa"/>
            <w:gridSpan w:val="10"/>
          </w:tcPr>
          <w:p>
            <w:pPr>
              <w:spacing w:line="220" w:lineRule="exact"/>
              <w:rPr>
                <w:rFonts w:ascii="宋体" w:hAnsi="宋体"/>
                <w:color w:val="000000"/>
                <w:sz w:val="18"/>
                <w:szCs w:val="18"/>
              </w:rPr>
            </w:pPr>
          </w:p>
        </w:tc>
        <w:tc>
          <w:tcPr>
            <w:tcW w:w="1036"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tcMar>
              <w:left w:w="0" w:type="dxa"/>
              <w:right w:w="0" w:type="dxa"/>
            </w:tcMar>
            <w:vAlign w:val="center"/>
          </w:tcPr>
          <w:p>
            <w:pPr>
              <w:spacing w:line="220" w:lineRule="exact"/>
              <w:jc w:val="distribute"/>
              <w:rPr>
                <w:rFonts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339" w:type="dxa"/>
          <w:jc w:val="center"/>
        </w:trPr>
        <w:tc>
          <w:tcPr>
            <w:tcW w:w="6330" w:type="dxa"/>
            <w:gridSpan w:val="10"/>
          </w:tcPr>
          <w:p>
            <w:pPr>
              <w:spacing w:line="220" w:lineRule="exact"/>
              <w:rPr>
                <w:rFonts w:ascii="宋体" w:hAnsi="宋体"/>
                <w:color w:val="000000"/>
                <w:sz w:val="18"/>
                <w:szCs w:val="18"/>
              </w:rPr>
            </w:pPr>
            <w:r>
              <w:rPr>
                <w:rFonts w:hint="eastAsia" w:ascii="宋体" w:hAnsi="宋体" w:cs="宋体"/>
                <w:color w:val="000000"/>
                <w:sz w:val="18"/>
                <w:szCs w:val="18"/>
              </w:rPr>
              <w:t>统一社会信用代码□□□□□□□□□□□□□□□□□□</w:t>
            </w:r>
          </w:p>
        </w:tc>
        <w:tc>
          <w:tcPr>
            <w:tcW w:w="1036"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sz w:val="18"/>
                <w:szCs w:val="18"/>
              </w:rPr>
              <w:t>国统字〔2024〕77号</w:t>
            </w:r>
          </w:p>
        </w:tc>
      </w:tr>
      <w:tr>
        <w:tblPrEx>
          <w:tblCellMar>
            <w:top w:w="0" w:type="dxa"/>
            <w:left w:w="0" w:type="dxa"/>
            <w:bottom w:w="0" w:type="dxa"/>
            <w:right w:w="0" w:type="dxa"/>
          </w:tblCellMar>
        </w:tblPrEx>
        <w:trPr>
          <w:gridBefore w:val="1"/>
          <w:wBefore w:w="339" w:type="dxa"/>
          <w:jc w:val="center"/>
        </w:trPr>
        <w:tc>
          <w:tcPr>
            <w:tcW w:w="6330" w:type="dxa"/>
            <w:gridSpan w:val="10"/>
          </w:tcPr>
          <w:p>
            <w:pPr>
              <w:spacing w:line="220" w:lineRule="exact"/>
              <w:rPr>
                <w:rFonts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1036"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2026年</w:t>
            </w:r>
            <w:r>
              <w:rPr>
                <w:rFonts w:hint="eastAsia" w:ascii="宋体" w:hAnsi="宋体"/>
                <w:color w:val="000000"/>
                <w:sz w:val="18"/>
                <w:szCs w:val="18"/>
              </w:rPr>
              <w:t>1月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954" w:type="dxa"/>
            <w:gridSpan w:val="2"/>
            <w:vMerge w:val="restart"/>
            <w:tcBorders>
              <w:top w:val="single" w:color="auto" w:sz="8"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人员情况</w:t>
            </w:r>
          </w:p>
        </w:tc>
        <w:tc>
          <w:tcPr>
            <w:tcW w:w="2604" w:type="dxa"/>
            <w:gridSpan w:val="5"/>
            <w:tcBorders>
              <w:top w:val="single" w:color="auto" w:sz="8"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954"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c>
          <w:tcPr>
            <w:tcW w:w="742"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从业人员期末人数(人)</w:t>
            </w:r>
          </w:p>
        </w:tc>
        <w:tc>
          <w:tcPr>
            <w:tcW w:w="2584" w:type="dxa"/>
            <w:gridSpan w:val="4"/>
            <w:tcBorders>
              <w:top w:val="single" w:color="auto" w:sz="2" w:space="0"/>
              <w:left w:val="nil"/>
              <w:bottom w:val="single" w:color="auto" w:sz="2" w:space="0"/>
              <w:right w:val="single" w:color="auto" w:sz="4" w:space="0"/>
            </w:tcBorders>
            <w:vAlign w:val="center"/>
          </w:tcPr>
          <w:p>
            <w:pPr>
              <w:jc w:val="center"/>
              <w:rPr>
                <w:rFonts w:ascii="宋体" w:hAnsi="宋体" w:cs="宋体"/>
                <w:color w:val="000000"/>
                <w:sz w:val="18"/>
                <w:szCs w:val="18"/>
              </w:rPr>
            </w:pPr>
          </w:p>
        </w:tc>
        <w:tc>
          <w:tcPr>
            <w:tcW w:w="630" w:type="dxa"/>
            <w:vMerge w:val="restart"/>
            <w:tcBorders>
              <w:top w:val="single" w:color="auto" w:sz="2" w:space="0"/>
              <w:left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从业人员平均人数(人)</w:t>
            </w:r>
          </w:p>
        </w:tc>
        <w:tc>
          <w:tcPr>
            <w:tcW w:w="1986" w:type="dxa"/>
            <w:gridSpan w:val="4"/>
            <w:tcBorders>
              <w:top w:val="single" w:color="auto" w:sz="2" w:space="0"/>
              <w:left w:val="nil"/>
              <w:bottom w:val="single" w:color="auto" w:sz="2" w:space="0"/>
              <w:right w:val="single" w:color="auto" w:sz="4" w:space="0"/>
            </w:tcBorders>
            <w:vAlign w:val="center"/>
          </w:tcPr>
          <w:p>
            <w:pPr>
              <w:jc w:val="center"/>
              <w:rPr>
                <w:rFonts w:ascii="宋体" w:hAnsi="宋体" w:cs="宋体"/>
                <w:color w:val="000000"/>
                <w:sz w:val="18"/>
                <w:szCs w:val="18"/>
              </w:rPr>
            </w:pPr>
          </w:p>
        </w:tc>
        <w:tc>
          <w:tcPr>
            <w:tcW w:w="714" w:type="dxa"/>
            <w:vMerge w:val="restart"/>
            <w:tcBorders>
              <w:top w:val="single" w:color="auto" w:sz="2" w:space="0"/>
              <w:left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从业人员工资总额</w:t>
            </w:r>
          </w:p>
          <w:p>
            <w:pPr>
              <w:jc w:val="center"/>
              <w:rPr>
                <w:rFonts w:ascii="宋体" w:hAnsi="宋体" w:cs="宋体"/>
                <w:color w:val="000000"/>
                <w:sz w:val="18"/>
                <w:szCs w:val="18"/>
              </w:rPr>
            </w:pPr>
            <w:r>
              <w:rPr>
                <w:rFonts w:hint="eastAsia" w:ascii="宋体" w:hAnsi="宋体" w:cs="宋体"/>
                <w:color w:val="000000"/>
                <w:sz w:val="18"/>
                <w:szCs w:val="18"/>
              </w:rPr>
              <w:t>(千元)</w:t>
            </w:r>
          </w:p>
        </w:tc>
        <w:tc>
          <w:tcPr>
            <w:tcW w:w="1890" w:type="dxa"/>
            <w:gridSpan w:val="4"/>
            <w:tcBorders>
              <w:top w:val="single" w:color="auto" w:sz="2" w:space="0"/>
              <w:left w:val="nil"/>
              <w:bottom w:val="single" w:color="auto" w:sz="2" w:space="0"/>
              <w:right w:val="nil"/>
            </w:tcBorders>
            <w:vAlign w:val="center"/>
          </w:tcPr>
          <w:p>
            <w:pP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954"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其中，女性</w:t>
            </w:r>
          </w:p>
        </w:tc>
        <w:tc>
          <w:tcPr>
            <w:tcW w:w="191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630" w:type="dxa"/>
            <w:vMerge w:val="continue"/>
            <w:tcBorders>
              <w:left w:val="single" w:color="auto" w:sz="4" w:space="0"/>
              <w:right w:val="nil"/>
            </w:tcBorders>
            <w:vAlign w:val="center"/>
          </w:tcPr>
          <w:p>
            <w:pPr>
              <w:jc w:val="center"/>
              <w:rPr>
                <w:rFonts w:ascii="宋体" w:hAnsi="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714" w:type="dxa"/>
            <w:vMerge w:val="continue"/>
            <w:tcBorders>
              <w:left w:val="single" w:color="auto" w:sz="2" w:space="0"/>
              <w:right w:val="single" w:color="auto" w:sz="4" w:space="0"/>
            </w:tcBorders>
            <w:vAlign w:val="center"/>
          </w:tcPr>
          <w:p>
            <w:pPr>
              <w:jc w:val="center"/>
              <w:rPr>
                <w:rFonts w:ascii="宋体" w:hAnsi="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954"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7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63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60" w:type="dxa"/>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51" w:type="dxa"/>
            <w:gridSpan w:val="2"/>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c>
          <w:tcPr>
            <w:tcW w:w="714" w:type="dxa"/>
            <w:vMerge w:val="continue"/>
            <w:tcBorders>
              <w:left w:val="single" w:color="auto" w:sz="2" w:space="0"/>
              <w:bottom w:val="single" w:color="auto" w:sz="4" w:space="0"/>
              <w:right w:val="single" w:color="auto" w:sz="4" w:space="0"/>
            </w:tcBorders>
            <w:vAlign w:val="center"/>
          </w:tcPr>
          <w:p>
            <w:pPr>
              <w:jc w:val="center"/>
              <w:rPr>
                <w:rFonts w:ascii="宋体" w:hAnsi="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630" w:type="dxa"/>
            <w:tcBorders>
              <w:top w:val="single" w:color="auto" w:sz="4" w:space="0"/>
              <w:left w:val="single" w:color="auto" w:sz="2" w:space="0"/>
              <w:bottom w:val="single" w:color="auto" w:sz="4"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劳务派遣人员</w:t>
            </w:r>
          </w:p>
        </w:tc>
        <w:tc>
          <w:tcPr>
            <w:tcW w:w="630" w:type="dxa"/>
            <w:tcBorders>
              <w:top w:val="single" w:color="auto" w:sz="4" w:space="0"/>
              <w:left w:val="single" w:color="auto" w:sz="2" w:space="0"/>
              <w:bottom w:val="single" w:color="auto" w:sz="4"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1月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2月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3月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4月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5月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6月</w:t>
            </w:r>
          </w:p>
        </w:tc>
        <w:tc>
          <w:tcPr>
            <w:tcW w:w="742"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7月</w:t>
            </w:r>
          </w:p>
        </w:tc>
        <w:tc>
          <w:tcPr>
            <w:tcW w:w="742"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8月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9月</w:t>
            </w:r>
          </w:p>
        </w:tc>
        <w:tc>
          <w:tcPr>
            <w:tcW w:w="742"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r>
              <w:rPr>
                <w:rFonts w:hint="eastAsia" w:ascii="宋体" w:hAnsi="宋体" w:cs="宋体"/>
                <w:sz w:val="18"/>
                <w:szCs w:val="18"/>
              </w:rPr>
              <w:t>本季</w:t>
            </w:r>
          </w:p>
        </w:tc>
        <w:tc>
          <w:tcPr>
            <w:tcW w:w="742"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0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7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4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7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71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nil"/>
              <w:right w:val="nil"/>
            </w:tcBorders>
            <w:shd w:val="clear" w:color="auto" w:fill="BEBEBE" w:themeFill="background1" w:themeFillShade="B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954"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r>
              <w:rPr>
                <w:rFonts w:hint="eastAsia" w:ascii="宋体" w:hAnsi="宋体" w:cs="宋体"/>
                <w:sz w:val="18"/>
                <w:szCs w:val="18"/>
              </w:rPr>
              <w:t>1-本季</w:t>
            </w:r>
          </w:p>
        </w:tc>
        <w:tc>
          <w:tcPr>
            <w:tcW w:w="742"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0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7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4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7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71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30"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rFonts w:ascii="宋体" w:hAnsi="宋体" w:cs="宋体"/>
                <w:color w:val="000000"/>
                <w:sz w:val="18"/>
                <w:szCs w:val="18"/>
              </w:rPr>
            </w:pPr>
          </w:p>
        </w:tc>
      </w:tr>
    </w:tbl>
    <w:p>
      <w:pPr>
        <w:spacing w:line="240" w:lineRule="exact"/>
        <w:rPr>
          <w:rFonts w:ascii="宋体" w:hAnsi="宋体" w:cs="宋体"/>
          <w:bCs/>
          <w:color w:val="000000"/>
          <w:kern w:val="0"/>
          <w:sz w:val="18"/>
          <w:szCs w:val="18"/>
        </w:rPr>
      </w:pPr>
    </w:p>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 续表</w:t>
      </w:r>
    </w:p>
    <w:tbl>
      <w:tblPr>
        <w:tblStyle w:val="20"/>
        <w:tblW w:w="9397"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924"/>
        <w:gridCol w:w="924"/>
        <w:gridCol w:w="924"/>
        <w:gridCol w:w="737"/>
        <w:gridCol w:w="213"/>
        <w:gridCol w:w="717"/>
        <w:gridCol w:w="233"/>
        <w:gridCol w:w="950"/>
        <w:gridCol w:w="950"/>
        <w:gridCol w:w="86"/>
        <w:gridCol w:w="864"/>
        <w:gridCol w:w="171"/>
        <w:gridCol w:w="780"/>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trPr>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37"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30"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trPr>
        <w:tc>
          <w:tcPr>
            <w:tcW w:w="2772"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924"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从业人员平均工资(元)</w:t>
            </w:r>
          </w:p>
        </w:tc>
        <w:tc>
          <w:tcPr>
            <w:tcW w:w="737"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30" w:type="dxa"/>
            <w:gridSpan w:val="2"/>
            <w:vMerge w:val="restart"/>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83"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6"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5"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8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772"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2851" w:type="dxa"/>
            <w:gridSpan w:val="5"/>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24" w:type="dxa"/>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w:t>
            </w:r>
          </w:p>
          <w:p>
            <w:pPr>
              <w:jc w:val="center"/>
              <w:rPr>
                <w:rFonts w:ascii="宋体" w:hAnsi="宋体" w:cs="宋体"/>
                <w:color w:val="000000"/>
                <w:sz w:val="18"/>
                <w:szCs w:val="18"/>
              </w:rPr>
            </w:pPr>
            <w:r>
              <w:rPr>
                <w:rFonts w:hint="eastAsia" w:ascii="宋体" w:hAnsi="宋体" w:cs="宋体"/>
                <w:color w:val="000000"/>
                <w:sz w:val="18"/>
                <w:szCs w:val="18"/>
              </w:rPr>
              <w:t>工资</w:t>
            </w:r>
          </w:p>
        </w:tc>
        <w:tc>
          <w:tcPr>
            <w:tcW w:w="92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rFonts w:ascii="宋体" w:hAnsi="宋体" w:cs="宋体"/>
                <w:color w:val="000000"/>
                <w:sz w:val="18"/>
                <w:szCs w:val="18"/>
              </w:rPr>
            </w:pPr>
            <w:r>
              <w:rPr>
                <w:rFonts w:hint="eastAsia" w:ascii="宋体" w:hAnsi="宋体" w:cs="宋体"/>
                <w:color w:val="000000"/>
                <w:sz w:val="18"/>
                <w:szCs w:val="18"/>
              </w:rPr>
              <w:t>奖金</w:t>
            </w:r>
          </w:p>
        </w:tc>
        <w:tc>
          <w:tcPr>
            <w:tcW w:w="92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c>
          <w:tcPr>
            <w:tcW w:w="924"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950" w:type="dxa"/>
            <w:gridSpan w:val="2"/>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劳务派遣人员</w:t>
            </w:r>
          </w:p>
        </w:tc>
        <w:tc>
          <w:tcPr>
            <w:tcW w:w="950" w:type="dxa"/>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其他从业人员</w:t>
            </w:r>
          </w:p>
        </w:tc>
        <w:tc>
          <w:tcPr>
            <w:tcW w:w="950"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正常工资</w:t>
            </w:r>
          </w:p>
        </w:tc>
        <w:tc>
          <w:tcPr>
            <w:tcW w:w="950"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color w:val="000000"/>
              </w:rPr>
            </w:pPr>
            <w:r>
              <w:rPr>
                <w:rFonts w:hint="eastAsia" w:ascii="宋体" w:hAnsi="宋体" w:cs="宋体"/>
                <w:color w:val="000000"/>
                <w:sz w:val="18"/>
                <w:szCs w:val="18"/>
              </w:rPr>
              <w:t>奖金</w:t>
            </w:r>
          </w:p>
        </w:tc>
        <w:tc>
          <w:tcPr>
            <w:tcW w:w="951"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trPr>
        <w:tc>
          <w:tcPr>
            <w:tcW w:w="924" w:type="dxa"/>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22</w:t>
            </w:r>
          </w:p>
        </w:tc>
        <w:tc>
          <w:tcPr>
            <w:tcW w:w="950" w:type="dxa"/>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950" w:type="dxa"/>
            <w:gridSpan w:val="2"/>
            <w:tcBorders>
              <w:top w:val="single" w:color="auto" w:sz="2" w:space="0"/>
              <w:left w:val="single" w:color="auto" w:sz="4" w:space="0"/>
              <w:bottom w:val="single" w:color="auto" w:sz="2" w:space="0"/>
              <w:right w:val="nil"/>
            </w:tcBorders>
            <w:noWrap/>
            <w:vAlign w:val="center"/>
          </w:tcPr>
          <w:p>
            <w:pPr>
              <w:jc w:val="center"/>
              <w:rPr>
                <w:color w:val="000000"/>
              </w:rPr>
            </w:pPr>
            <w:r>
              <w:rPr>
                <w:rFonts w:hint="eastAsia" w:ascii="宋体" w:hAnsi="宋体" w:cs="宋体"/>
                <w:color w:val="000000"/>
                <w:sz w:val="18"/>
                <w:szCs w:val="18"/>
              </w:rPr>
              <w:t>25</w:t>
            </w:r>
          </w:p>
        </w:tc>
        <w:tc>
          <w:tcPr>
            <w:tcW w:w="951" w:type="dxa"/>
            <w:gridSpan w:val="2"/>
            <w:tcBorders>
              <w:top w:val="single" w:color="auto" w:sz="2" w:space="0"/>
              <w:left w:val="single" w:color="auto" w:sz="4" w:space="0"/>
              <w:bottom w:val="single" w:color="auto" w:sz="2"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nil"/>
              <w:right w:val="single" w:color="auto" w:sz="4"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c>
          <w:tcPr>
            <w:tcW w:w="951"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924" w:type="dxa"/>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50"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50"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c>
          <w:tcPr>
            <w:tcW w:w="951"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r>
    </w:tbl>
    <w:p>
      <w:pPr>
        <w:kinsoku w:val="0"/>
        <w:overflowPunct w:val="0"/>
        <w:adjustRightInd w:val="0"/>
        <w:snapToGrid w:val="0"/>
        <w:spacing w:line="240" w:lineRule="exact"/>
        <w:ind w:left="0" w:leftChars="0" w:firstLine="0" w:firstLineChars="0"/>
        <w:rPr>
          <w:rFonts w:ascii="宋体"/>
          <w:color w:val="000000"/>
          <w:sz w:val="18"/>
        </w:rPr>
      </w:pPr>
      <w:r>
        <w:rPr>
          <w:rFonts w:hint="eastAsia" w:ascii="宋体" w:hAnsi="宋体" w:cs="宋体"/>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20" w:lineRule="exact"/>
        <w:ind w:left="1619" w:leftChars="-1" w:hanging="1621" w:hangingChars="901"/>
        <w:jc w:val="left"/>
        <w:rPr>
          <w:rFonts w:ascii="宋体"/>
          <w:color w:val="000000"/>
          <w:sz w:val="18"/>
        </w:rPr>
      </w:pPr>
      <w:r>
        <w:rPr>
          <w:rFonts w:hint="eastAsia" w:ascii="宋体" w:hAnsi="宋体" w:cs="宋体"/>
          <w:bCs/>
          <w:color w:val="000000"/>
          <w:kern w:val="0"/>
          <w:sz w:val="18"/>
          <w:szCs w:val="18"/>
        </w:rPr>
        <w:t>说明：1.统计范围：</w:t>
      </w:r>
      <w:r>
        <w:rPr>
          <w:rFonts w:hint="eastAsia" w:ascii="宋体" w:hAnsi="宋体"/>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r>
        <w:rPr>
          <w:rFonts w:hint="eastAsia" w:ascii="宋体" w:hAnsi="宋体"/>
          <w:color w:val="000000"/>
          <w:sz w:val="18"/>
          <w:szCs w:val="18"/>
        </w:rPr>
        <w:t>。</w:t>
      </w:r>
    </w:p>
    <w:p>
      <w:pPr>
        <w:snapToGrid w:val="0"/>
        <w:spacing w:line="220" w:lineRule="exact"/>
        <w:ind w:left="2160" w:leftChars="257" w:hanging="1620" w:hangingChars="900"/>
        <w:jc w:val="left"/>
        <w:rPr>
          <w:rFonts w:ascii="宋体"/>
          <w:color w:val="000000"/>
          <w:sz w:val="18"/>
          <w:highlight w:val="yellow"/>
        </w:rPr>
      </w:pPr>
      <w:r>
        <w:rPr>
          <w:rFonts w:hint="eastAsia" w:ascii="宋体" w:hAnsi="宋体" w:cs="宋体"/>
          <w:bCs/>
          <w:color w:val="000000"/>
          <w:kern w:val="0"/>
          <w:sz w:val="18"/>
          <w:szCs w:val="18"/>
        </w:rPr>
        <w:t>2.报送日期及方式：一季度、二季度季后1日，三季度9月30日0:00开网；</w:t>
      </w:r>
      <w:r>
        <w:rPr>
          <w:rFonts w:hint="eastAsia" w:ascii="宋体" w:hAnsi="宋体" w:cs="宋体"/>
          <w:sz w:val="18"/>
          <w:szCs w:val="18"/>
        </w:rPr>
        <w:t>调查单位</w:t>
      </w:r>
      <w:r>
        <w:rPr>
          <w:rFonts w:ascii="宋体" w:hAnsi="宋体" w:cs="宋体"/>
          <w:bCs/>
          <w:color w:val="000000"/>
          <w:kern w:val="0"/>
          <w:sz w:val="18"/>
          <w:szCs w:val="18"/>
        </w:rPr>
        <w:t>15</w:t>
      </w:r>
      <w:r>
        <w:rPr>
          <w:rFonts w:hint="eastAsia" w:ascii="宋体" w:hAnsi="宋体" w:cs="宋体"/>
          <w:bCs/>
          <w:color w:val="000000"/>
          <w:kern w:val="0"/>
          <w:sz w:val="18"/>
          <w:szCs w:val="18"/>
        </w:rPr>
        <w:t>日</w:t>
      </w:r>
      <w:r>
        <w:rPr>
          <w:rFonts w:hint="eastAsia" w:ascii="宋体"/>
          <w:color w:val="000000"/>
          <w:sz w:val="18"/>
        </w:rPr>
        <w:t>12:00</w:t>
      </w:r>
      <w:r>
        <w:rPr>
          <w:rFonts w:hint="eastAsia" w:ascii="宋体" w:hAnsi="宋体" w:cs="宋体"/>
          <w:sz w:val="18"/>
          <w:szCs w:val="18"/>
        </w:rPr>
        <w:t>前网上填报，</w:t>
      </w:r>
      <w:r>
        <w:rPr>
          <w:rFonts w:hint="eastAsia" w:ascii="宋体" w:hAnsi="宋体"/>
          <w:color w:val="000000"/>
          <w:sz w:val="18"/>
          <w:szCs w:val="18"/>
        </w:rPr>
        <w:t>无法进行网络直报的单位可通过其他形式报送，再由统计机构代录至平台</w:t>
      </w:r>
      <w:r>
        <w:rPr>
          <w:rFonts w:hint="eastAsia" w:ascii="宋体"/>
          <w:color w:val="000000"/>
          <w:spacing w:val="-2"/>
          <w:sz w:val="18"/>
          <w:szCs w:val="18"/>
        </w:rPr>
        <w:t>；</w:t>
      </w:r>
      <w:r>
        <w:rPr>
          <w:rFonts w:hint="eastAsia" w:ascii="宋体" w:hAnsi="宋体" w:cs="宋体"/>
          <w:sz w:val="18"/>
          <w:szCs w:val="18"/>
        </w:rPr>
        <w:t>市级统计机构</w:t>
      </w:r>
      <w:r>
        <w:rPr>
          <w:rFonts w:hint="eastAsia" w:ascii="宋体"/>
          <w:color w:val="000000"/>
          <w:sz w:val="18"/>
        </w:rPr>
        <w:t>季后</w:t>
      </w:r>
      <w:r>
        <w:rPr>
          <w:rFonts w:ascii="宋体"/>
          <w:color w:val="000000"/>
          <w:sz w:val="18"/>
        </w:rPr>
        <w:t>19</w:t>
      </w:r>
      <w:r>
        <w:rPr>
          <w:rFonts w:hint="eastAsia" w:ascii="宋体"/>
          <w:color w:val="000000"/>
          <w:sz w:val="18"/>
        </w:rPr>
        <w:t>日</w:t>
      </w:r>
      <w:r>
        <w:rPr>
          <w:rFonts w:ascii="宋体"/>
          <w:color w:val="000000"/>
          <w:sz w:val="18"/>
        </w:rPr>
        <w:t>24</w:t>
      </w:r>
      <w:r>
        <w:rPr>
          <w:rFonts w:hint="eastAsia" w:ascii="宋体"/>
          <w:color w:val="000000"/>
          <w:sz w:val="18"/>
        </w:rPr>
        <w:t>:00</w:t>
      </w:r>
      <w:r>
        <w:rPr>
          <w:rFonts w:hint="eastAsia" w:ascii="宋体" w:hAnsi="宋体" w:cs="宋体"/>
          <w:sz w:val="18"/>
          <w:szCs w:val="18"/>
        </w:rPr>
        <w:t>前完成数据审核、验收、上报。</w:t>
      </w:r>
    </w:p>
    <w:p>
      <w:pPr>
        <w:snapToGrid w:val="0"/>
        <w:spacing w:line="220" w:lineRule="exact"/>
        <w:ind w:left="723" w:leftChars="257" w:hanging="183" w:hangingChars="102"/>
        <w:jc w:val="left"/>
        <w:rPr>
          <w:rFonts w:ascii="宋体"/>
          <w:color w:val="000000"/>
          <w:sz w:val="18"/>
        </w:rPr>
      </w:pPr>
      <w:r>
        <w:rPr>
          <w:rFonts w:hint="eastAsia" w:ascii="宋体"/>
          <w:color w:val="000000"/>
          <w:sz w:val="18"/>
        </w:rPr>
        <w:t>3.从业人员平均工资由联网直报平台根据调查单位填报数据计算生成，</w:t>
      </w:r>
      <w:r>
        <w:rPr>
          <w:rFonts w:hint="eastAsia" w:ascii="宋体" w:hAnsi="宋体" w:cs="宋体"/>
          <w:color w:val="000000"/>
          <w:sz w:val="18"/>
          <w:szCs w:val="18"/>
        </w:rPr>
        <w:t>从业人员期末人数、从业人员平均人数、从业人员工资总额、从业人员平均工资及其分组</w:t>
      </w:r>
      <w:r>
        <w:rPr>
          <w:rFonts w:hint="eastAsia" w:ascii="宋体"/>
          <w:color w:val="000000"/>
          <w:sz w:val="18"/>
        </w:rPr>
        <w:t>的“本季”和“1-本季”累计数由联网直报平台根据调查单位填报数据计算生成，调查单位无需填写。</w:t>
      </w:r>
    </w:p>
    <w:p>
      <w:pPr>
        <w:snapToGrid w:val="0"/>
        <w:spacing w:line="220" w:lineRule="exact"/>
        <w:ind w:left="2160" w:leftChars="257" w:hanging="1620" w:hangingChars="900"/>
        <w:jc w:val="left"/>
        <w:rPr>
          <w:rFonts w:ascii="宋体"/>
          <w:color w:val="000000"/>
          <w:sz w:val="18"/>
        </w:rPr>
      </w:pPr>
      <w:r>
        <w:rPr>
          <w:rFonts w:hint="eastAsia" w:ascii="宋体"/>
          <w:color w:val="000000"/>
          <w:sz w:val="18"/>
        </w:rPr>
        <w:t>4.工资总额按实际发放时间填报，但预发工资需填报在应发月份。</w:t>
      </w:r>
    </w:p>
    <w:p>
      <w:pPr>
        <w:snapToGrid w:val="0"/>
        <w:spacing w:line="220" w:lineRule="exact"/>
        <w:ind w:left="723" w:leftChars="257" w:hanging="183" w:hangingChars="102"/>
        <w:jc w:val="left"/>
      </w:pPr>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20" w:lineRule="exact"/>
        <w:ind w:left="723" w:leftChars="257" w:hanging="183" w:hangingChars="102"/>
        <w:jc w:val="left"/>
        <w:rPr>
          <w:rFonts w:ascii="宋体"/>
          <w:color w:val="000000"/>
          <w:sz w:val="18"/>
        </w:rPr>
      </w:pPr>
      <w:r>
        <w:rPr>
          <w:rFonts w:ascii="宋体"/>
          <w:color w:val="000000"/>
          <w:sz w:val="18"/>
          <w:lang w:val="en"/>
        </w:rPr>
        <w:t>6</w:t>
      </w:r>
      <w:r>
        <w:rPr>
          <w:rFonts w:hint="eastAsia" w:ascii="宋体"/>
          <w:color w:val="000000"/>
          <w:sz w:val="18"/>
        </w:rPr>
        <w:t>.确定性审核关系：</w:t>
      </w:r>
    </w:p>
    <w:p>
      <w:pPr>
        <w:snapToGrid w:val="0"/>
        <w:spacing w:line="2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 xml:space="preserve">（1）01≥02        （2）01=04+05+06       （3）08=09+10+11        （4）12=13+18+19     </w:t>
      </w:r>
    </w:p>
    <w:p>
      <w:pPr>
        <w:snapToGrid w:val="0"/>
        <w:spacing w:before="0" w:beforeLines="-2147483648" w:after="0" w:afterLines="-2147483648" w:line="220" w:lineRule="exact"/>
        <w:ind w:firstLine="720" w:firstLineChars="400"/>
        <w:jc w:val="left"/>
        <w:outlineLvl w:val="9"/>
        <w:rPr>
          <w:rFonts w:ascii="宋体" w:hAnsi="宋体"/>
          <w:color w:val="000000"/>
          <w:sz w:val="32"/>
          <w:szCs w:val="32"/>
        </w:rPr>
      </w:pPr>
      <w:r>
        <w:rPr>
          <w:rFonts w:hint="eastAsia" w:ascii="宋体" w:hAnsi="宋体" w:cs="宋体"/>
          <w:color w:val="000000"/>
          <w:kern w:val="0"/>
          <w:sz w:val="18"/>
          <w:szCs w:val="18"/>
        </w:rPr>
        <w:t>（</w:t>
      </w:r>
      <w:r>
        <w:rPr>
          <w:rFonts w:ascii="宋体" w:hAnsi="宋体" w:cs="宋体"/>
          <w:color w:val="000000"/>
          <w:kern w:val="0"/>
          <w:sz w:val="18"/>
          <w:szCs w:val="18"/>
        </w:rPr>
        <w:t xml:space="preserve">5）12=14+15+16 </w:t>
      </w:r>
      <w:bookmarkStart w:id="94" w:name="_Toc1881661797"/>
      <w:bookmarkStart w:id="95" w:name="_Toc111315577"/>
    </w:p>
    <w:p>
      <w:pPr>
        <w:snapToGrid/>
        <w:spacing w:before="0" w:beforeLines="-2147483648" w:after="0" w:afterLines="-2147483648"/>
        <w:jc w:val="center"/>
        <w:outlineLvl w:val="9"/>
        <w:rPr>
          <w:rFonts w:ascii="宋体" w:hAnsi="宋体"/>
          <w:color w:val="000000"/>
          <w:sz w:val="32"/>
          <w:szCs w:val="32"/>
        </w:rPr>
      </w:pPr>
      <w:bookmarkStart w:id="96" w:name="_Toc1906916662"/>
      <w:bookmarkStart w:id="97" w:name="_Toc1201932530"/>
      <w:bookmarkStart w:id="98" w:name="_Toc1461698927"/>
      <w:bookmarkStart w:id="99" w:name="_Toc1430078934"/>
      <w:bookmarkStart w:id="100" w:name="_Toc1356440769"/>
      <w:bookmarkStart w:id="101" w:name="_Toc2089863407"/>
      <w:r>
        <w:rPr>
          <w:rFonts w:hint="eastAsia" w:ascii="宋体" w:hAnsi="宋体"/>
          <w:color w:val="000000"/>
          <w:sz w:val="32"/>
          <w:szCs w:val="32"/>
        </w:rPr>
        <w:t>从业人员及工资总额</w:t>
      </w:r>
      <w:bookmarkEnd w:id="94"/>
      <w:bookmarkEnd w:id="95"/>
      <w:bookmarkEnd w:id="96"/>
      <w:bookmarkEnd w:id="97"/>
      <w:bookmarkEnd w:id="98"/>
      <w:bookmarkEnd w:id="99"/>
      <w:bookmarkEnd w:id="100"/>
      <w:bookmarkEnd w:id="101"/>
    </w:p>
    <w:tbl>
      <w:tblPr>
        <w:tblStyle w:val="20"/>
        <w:tblW w:w="9380" w:type="dxa"/>
        <w:jc w:val="center"/>
        <w:tblLayout w:type="fixed"/>
        <w:tblCellMar>
          <w:top w:w="0" w:type="dxa"/>
          <w:left w:w="0" w:type="dxa"/>
          <w:bottom w:w="0" w:type="dxa"/>
          <w:right w:w="0" w:type="dxa"/>
        </w:tblCellMar>
      </w:tblPr>
      <w:tblGrid>
        <w:gridCol w:w="285"/>
        <w:gridCol w:w="611"/>
        <w:gridCol w:w="735"/>
        <w:gridCol w:w="659"/>
        <w:gridCol w:w="594"/>
        <w:gridCol w:w="666"/>
        <w:gridCol w:w="646"/>
        <w:gridCol w:w="624"/>
        <w:gridCol w:w="669"/>
        <w:gridCol w:w="653"/>
        <w:gridCol w:w="549"/>
        <w:gridCol w:w="105"/>
        <w:gridCol w:w="708"/>
        <w:gridCol w:w="95"/>
        <w:gridCol w:w="529"/>
        <w:gridCol w:w="624"/>
        <w:gridCol w:w="628"/>
        <w:tblGridChange w:id="5">
          <w:tblGrid>
            <w:gridCol w:w="285"/>
            <w:gridCol w:w="357"/>
            <w:gridCol w:w="254"/>
            <w:gridCol w:w="488"/>
            <w:gridCol w:w="247"/>
            <w:gridCol w:w="419"/>
            <w:gridCol w:w="240"/>
            <w:gridCol w:w="360"/>
            <w:gridCol w:w="234"/>
            <w:gridCol w:w="439"/>
            <w:gridCol w:w="227"/>
            <w:gridCol w:w="418"/>
            <w:gridCol w:w="228"/>
            <w:gridCol w:w="402"/>
            <w:gridCol w:w="222"/>
            <w:gridCol w:w="669"/>
            <w:gridCol w:w="653"/>
            <w:gridCol w:w="549"/>
            <w:gridCol w:w="105"/>
            <w:gridCol w:w="708"/>
            <w:gridCol w:w="95"/>
            <w:gridCol w:w="529"/>
            <w:gridCol w:w="624"/>
            <w:gridCol w:w="628"/>
          </w:tblGrid>
        </w:tblGridChange>
      </w:tblGrid>
      <w:tr>
        <w:tblPrEx>
          <w:tblCellMar>
            <w:top w:w="0" w:type="dxa"/>
            <w:left w:w="0" w:type="dxa"/>
            <w:bottom w:w="0" w:type="dxa"/>
            <w:right w:w="0" w:type="dxa"/>
          </w:tblCellMar>
        </w:tblPrEx>
        <w:trPr>
          <w:gridBefore w:val="1"/>
          <w:wBefore w:w="285" w:type="dxa"/>
          <w:trHeight w:val="202" w:hRule="atLeast"/>
          <w:jc w:val="center"/>
        </w:trPr>
        <w:tc>
          <w:tcPr>
            <w:tcW w:w="6406" w:type="dxa"/>
            <w:gridSpan w:val="10"/>
          </w:tcPr>
          <w:p>
            <w:pPr>
              <w:spacing w:line="220" w:lineRule="exact"/>
              <w:rPr>
                <w:rFonts w:ascii="宋体" w:hAnsi="宋体"/>
                <w:color w:val="000000"/>
                <w:sz w:val="18"/>
                <w:szCs w:val="18"/>
              </w:rPr>
            </w:pPr>
          </w:p>
        </w:tc>
        <w:tc>
          <w:tcPr>
            <w:tcW w:w="908"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81"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 xml:space="preserve"> I202－3表</w:t>
            </w:r>
          </w:p>
        </w:tc>
      </w:tr>
      <w:tr>
        <w:tblPrEx>
          <w:tblCellMar>
            <w:top w:w="0" w:type="dxa"/>
            <w:left w:w="0" w:type="dxa"/>
            <w:bottom w:w="0" w:type="dxa"/>
            <w:right w:w="0" w:type="dxa"/>
          </w:tblCellMar>
        </w:tblPrEx>
        <w:trPr>
          <w:gridBefore w:val="1"/>
          <w:wBefore w:w="285" w:type="dxa"/>
          <w:trHeight w:val="226" w:hRule="atLeast"/>
          <w:jc w:val="center"/>
        </w:trPr>
        <w:tc>
          <w:tcPr>
            <w:tcW w:w="6406" w:type="dxa"/>
            <w:gridSpan w:val="10"/>
          </w:tcPr>
          <w:p>
            <w:pPr>
              <w:spacing w:line="220" w:lineRule="exact"/>
              <w:rPr>
                <w:rFonts w:ascii="宋体" w:hAnsi="宋体"/>
                <w:color w:val="000000"/>
                <w:sz w:val="18"/>
                <w:szCs w:val="18"/>
              </w:rPr>
            </w:pPr>
          </w:p>
        </w:tc>
        <w:tc>
          <w:tcPr>
            <w:tcW w:w="908" w:type="dxa"/>
            <w:gridSpan w:val="3"/>
            <w:tcMar>
              <w:left w:w="0" w:type="dxa"/>
              <w:right w:w="0" w:type="dxa"/>
            </w:tcMa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81" w:type="dxa"/>
            <w:gridSpan w:val="3"/>
            <w:tcMar>
              <w:left w:w="0" w:type="dxa"/>
              <w:right w:w="0" w:type="dxa"/>
            </w:tcMar>
            <w:vAlign w:val="center"/>
          </w:tcPr>
          <w:p>
            <w:pPr>
              <w:spacing w:line="220" w:lineRule="exact"/>
              <w:jc w:val="distribute"/>
              <w:rPr>
                <w:rFonts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85" w:type="dxa"/>
          <w:trHeight w:val="226" w:hRule="atLeast"/>
          <w:jc w:val="center"/>
        </w:trPr>
        <w:tc>
          <w:tcPr>
            <w:tcW w:w="6406" w:type="dxa"/>
            <w:gridSpan w:val="10"/>
          </w:tcPr>
          <w:p>
            <w:pPr>
              <w:spacing w:line="220" w:lineRule="exact"/>
              <w:rPr>
                <w:rFonts w:ascii="宋体" w:hAnsi="宋体"/>
                <w:color w:val="000000"/>
                <w:sz w:val="18"/>
                <w:szCs w:val="18"/>
              </w:rPr>
            </w:pPr>
            <w:r>
              <w:rPr>
                <w:rFonts w:hint="eastAsia" w:ascii="宋体" w:hAnsi="宋体" w:cs="宋体"/>
                <w:color w:val="000000"/>
                <w:sz w:val="18"/>
                <w:szCs w:val="18"/>
              </w:rPr>
              <w:t>统一社会信用代码□□□□□□□□□□□□□□□□□□</w:t>
            </w:r>
          </w:p>
        </w:tc>
        <w:tc>
          <w:tcPr>
            <w:tcW w:w="908"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81"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sz w:val="18"/>
                <w:szCs w:val="18"/>
              </w:rPr>
              <w:t>国统字〔2024〕77号</w:t>
            </w:r>
          </w:p>
        </w:tc>
      </w:tr>
      <w:tr>
        <w:tblPrEx>
          <w:tblCellMar>
            <w:top w:w="0" w:type="dxa"/>
            <w:left w:w="0" w:type="dxa"/>
            <w:bottom w:w="0" w:type="dxa"/>
            <w:right w:w="0" w:type="dxa"/>
          </w:tblCellMar>
        </w:tblPrEx>
        <w:trPr>
          <w:gridBefore w:val="1"/>
          <w:wBefore w:w="285" w:type="dxa"/>
          <w:trHeight w:val="153" w:hRule="atLeast"/>
          <w:jc w:val="center"/>
        </w:trPr>
        <w:tc>
          <w:tcPr>
            <w:tcW w:w="6406" w:type="dxa"/>
            <w:gridSpan w:val="10"/>
          </w:tcPr>
          <w:p>
            <w:pPr>
              <w:spacing w:line="220" w:lineRule="exact"/>
              <w:rPr>
                <w:rFonts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908" w:type="dxa"/>
            <w:gridSpan w:val="3"/>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81" w:type="dxa"/>
            <w:gridSpan w:val="3"/>
            <w:tcMar>
              <w:left w:w="0" w:type="dxa"/>
              <w:right w:w="0" w:type="dxa"/>
            </w:tcMar>
            <w:vAlign w:val="center"/>
          </w:tcPr>
          <w:p>
            <w:pPr>
              <w:spacing w:line="220" w:lineRule="exact"/>
              <w:jc w:val="distribute"/>
              <w:rPr>
                <w:rFonts w:ascii="宋体" w:hAnsi="宋体" w:cs="宋体"/>
                <w:color w:val="000000"/>
                <w:sz w:val="18"/>
                <w:szCs w:val="18"/>
              </w:rPr>
            </w:pPr>
            <w:r>
              <w:rPr>
                <w:rFonts w:hint="eastAsia" w:ascii="宋体" w:hAnsi="宋体" w:cs="宋体"/>
                <w:color w:val="000000"/>
                <w:sz w:val="18"/>
                <w:szCs w:val="18"/>
              </w:rPr>
              <w:t>2026年</w:t>
            </w:r>
            <w:r>
              <w:rPr>
                <w:rFonts w:hint="eastAsia" w:ascii="宋体" w:hAnsi="宋体"/>
                <w:color w:val="000000"/>
                <w:sz w:val="18"/>
                <w:szCs w:val="18"/>
              </w:rPr>
              <w:t>3月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896" w:type="dxa"/>
            <w:gridSpan w:val="2"/>
            <w:vMerge w:val="restart"/>
            <w:tcBorders>
              <w:top w:val="single" w:color="auto" w:sz="8"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5900" w:type="dxa"/>
            <w:gridSpan w:val="10"/>
            <w:tcBorders>
              <w:top w:val="single" w:color="auto" w:sz="8"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人员情况</w:t>
            </w:r>
          </w:p>
        </w:tc>
        <w:tc>
          <w:tcPr>
            <w:tcW w:w="2584" w:type="dxa"/>
            <w:gridSpan w:val="5"/>
            <w:tcBorders>
              <w:top w:val="single" w:color="auto" w:sz="8"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896"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工资情况</w:t>
            </w:r>
          </w:p>
        </w:tc>
        <w:tc>
          <w:tcPr>
            <w:tcW w:w="735" w:type="dxa"/>
            <w:vMerge w:val="restart"/>
            <w:tcBorders>
              <w:top w:val="single" w:color="auto" w:sz="2" w:space="0"/>
              <w:left w:val="single" w:color="auto" w:sz="2" w:space="0"/>
              <w:bottom w:val="single" w:color="auto" w:sz="2" w:space="0"/>
              <w:right w:val="nil"/>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从业人员期末人数(人)</w:t>
            </w:r>
          </w:p>
        </w:tc>
        <w:tc>
          <w:tcPr>
            <w:tcW w:w="2565" w:type="dxa"/>
            <w:gridSpan w:val="4"/>
            <w:tcBorders>
              <w:top w:val="single" w:color="auto" w:sz="2" w:space="0"/>
              <w:left w:val="nil"/>
              <w:bottom w:val="single" w:color="auto" w:sz="2" w:space="0"/>
              <w:right w:val="single" w:color="auto" w:sz="4" w:space="0"/>
            </w:tcBorders>
            <w:vAlign w:val="center"/>
          </w:tcPr>
          <w:p>
            <w:pPr>
              <w:spacing w:line="240" w:lineRule="exact"/>
              <w:jc w:val="left"/>
              <w:rPr>
                <w:rFonts w:ascii="宋体" w:hAnsi="宋体" w:cs="宋体"/>
                <w:color w:val="000000"/>
                <w:sz w:val="18"/>
                <w:szCs w:val="18"/>
              </w:rPr>
            </w:pPr>
          </w:p>
        </w:tc>
        <w:tc>
          <w:tcPr>
            <w:tcW w:w="624" w:type="dxa"/>
            <w:vMerge w:val="restart"/>
            <w:tcBorders>
              <w:top w:val="single" w:color="auto" w:sz="2" w:space="0"/>
              <w:left w:val="single" w:color="auto" w:sz="4" w:space="0"/>
              <w:right w:val="nil"/>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从业人员平均人数(人)</w:t>
            </w:r>
          </w:p>
        </w:tc>
        <w:tc>
          <w:tcPr>
            <w:tcW w:w="1976" w:type="dxa"/>
            <w:gridSpan w:val="4"/>
            <w:tcBorders>
              <w:top w:val="single" w:color="auto" w:sz="2" w:space="0"/>
              <w:left w:val="nil"/>
              <w:bottom w:val="single" w:color="auto" w:sz="2" w:space="0"/>
              <w:right w:val="single" w:color="auto" w:sz="4" w:space="0"/>
            </w:tcBorders>
            <w:vAlign w:val="center"/>
          </w:tcPr>
          <w:p>
            <w:pPr>
              <w:spacing w:line="240" w:lineRule="exact"/>
              <w:jc w:val="left"/>
              <w:rPr>
                <w:rFonts w:ascii="宋体" w:hAnsi="宋体" w:cs="宋体"/>
                <w:color w:val="000000"/>
                <w:sz w:val="18"/>
                <w:szCs w:val="18"/>
              </w:rPr>
            </w:pPr>
          </w:p>
        </w:tc>
        <w:tc>
          <w:tcPr>
            <w:tcW w:w="708" w:type="dxa"/>
            <w:vMerge w:val="restart"/>
            <w:tcBorders>
              <w:top w:val="single" w:color="auto" w:sz="2" w:space="0"/>
              <w:left w:val="single" w:color="auto" w:sz="4" w:space="0"/>
              <w:right w:val="nil"/>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从业人员工资总额</w:t>
            </w:r>
          </w:p>
          <w:p>
            <w:pPr>
              <w:spacing w:line="240" w:lineRule="exact"/>
              <w:jc w:val="left"/>
              <w:rPr>
                <w:rFonts w:ascii="宋体" w:hAnsi="宋体" w:cs="宋体"/>
                <w:color w:val="000000"/>
                <w:sz w:val="18"/>
                <w:szCs w:val="18"/>
              </w:rPr>
            </w:pPr>
            <w:r>
              <w:rPr>
                <w:rFonts w:hint="eastAsia" w:ascii="宋体" w:hAnsi="宋体" w:cs="宋体"/>
                <w:color w:val="000000"/>
                <w:sz w:val="18"/>
                <w:szCs w:val="18"/>
              </w:rPr>
              <w:t>(千元)</w:t>
            </w:r>
          </w:p>
        </w:tc>
        <w:tc>
          <w:tcPr>
            <w:tcW w:w="1876" w:type="dxa"/>
            <w:gridSpan w:val="4"/>
            <w:tcBorders>
              <w:top w:val="single" w:color="auto" w:sz="2" w:space="0"/>
              <w:left w:val="nil"/>
              <w:bottom w:val="single" w:color="auto" w:sz="2" w:space="0"/>
              <w:right w:val="nil"/>
            </w:tcBorders>
            <w:vAlign w:val="center"/>
          </w:tcPr>
          <w:p>
            <w:pPr>
              <w:spacing w:line="240" w:lineRule="exact"/>
              <w:jc w:val="left"/>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96"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p>
        </w:tc>
        <w:tc>
          <w:tcPr>
            <w:tcW w:w="659" w:type="dxa"/>
            <w:vMerge w:val="restart"/>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其中，女性</w:t>
            </w:r>
          </w:p>
        </w:tc>
        <w:tc>
          <w:tcPr>
            <w:tcW w:w="1906"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按人员类型分组</w:t>
            </w:r>
          </w:p>
        </w:tc>
        <w:tc>
          <w:tcPr>
            <w:tcW w:w="624" w:type="dxa"/>
            <w:vMerge w:val="continue"/>
            <w:tcBorders>
              <w:left w:val="single" w:color="auto" w:sz="4" w:space="0"/>
              <w:right w:val="nil"/>
            </w:tcBorders>
            <w:vAlign w:val="center"/>
          </w:tcPr>
          <w:p>
            <w:pPr>
              <w:spacing w:line="240" w:lineRule="exact"/>
              <w:jc w:val="left"/>
              <w:rPr>
                <w:rFonts w:ascii="宋体" w:hAnsi="宋体" w:cs="宋体"/>
                <w:color w:val="000000"/>
                <w:sz w:val="18"/>
                <w:szCs w:val="18"/>
              </w:rPr>
            </w:pPr>
          </w:p>
        </w:tc>
        <w:tc>
          <w:tcPr>
            <w:tcW w:w="1976" w:type="dxa"/>
            <w:gridSpan w:val="4"/>
            <w:tcBorders>
              <w:top w:val="single" w:color="auto" w:sz="2" w:space="0"/>
              <w:left w:val="single" w:color="auto" w:sz="4" w:space="0"/>
              <w:bottom w:val="single" w:color="auto" w:sz="4"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按人员类型分组</w:t>
            </w:r>
          </w:p>
        </w:tc>
        <w:tc>
          <w:tcPr>
            <w:tcW w:w="708" w:type="dxa"/>
            <w:vMerge w:val="continue"/>
            <w:tcBorders>
              <w:left w:val="single" w:color="auto" w:sz="2" w:space="0"/>
              <w:right w:val="single" w:color="auto" w:sz="4" w:space="0"/>
            </w:tcBorders>
            <w:vAlign w:val="center"/>
          </w:tcPr>
          <w:p>
            <w:pPr>
              <w:spacing w:line="240" w:lineRule="exact"/>
              <w:jc w:val="left"/>
              <w:rPr>
                <w:rFonts w:ascii="宋体" w:hAnsi="宋体" w:cs="宋体"/>
                <w:color w:val="000000"/>
                <w:sz w:val="18"/>
                <w:szCs w:val="18"/>
              </w:rPr>
            </w:pPr>
          </w:p>
        </w:tc>
        <w:tc>
          <w:tcPr>
            <w:tcW w:w="1876" w:type="dxa"/>
            <w:gridSpan w:val="4"/>
            <w:tcBorders>
              <w:top w:val="single" w:color="auto" w:sz="2" w:space="0"/>
              <w:left w:val="single" w:color="auto" w:sz="4" w:space="0"/>
              <w:bottom w:val="single" w:color="auto" w:sz="4" w:space="0"/>
              <w:right w:val="nil"/>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96" w:type="dxa"/>
            <w:gridSpan w:val="2"/>
            <w:vMerge w:val="continue"/>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735"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p>
        </w:tc>
        <w:tc>
          <w:tcPr>
            <w:tcW w:w="659"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p>
        </w:tc>
        <w:tc>
          <w:tcPr>
            <w:tcW w:w="594"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在岗职工</w:t>
            </w:r>
          </w:p>
        </w:tc>
        <w:tc>
          <w:tcPr>
            <w:tcW w:w="666"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劳务派遣人员</w:t>
            </w:r>
          </w:p>
        </w:tc>
        <w:tc>
          <w:tcPr>
            <w:tcW w:w="646"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其他从业人员</w:t>
            </w:r>
          </w:p>
        </w:tc>
        <w:tc>
          <w:tcPr>
            <w:tcW w:w="624" w:type="dxa"/>
            <w:vMerge w:val="continue"/>
            <w:tcBorders>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18"/>
                <w:szCs w:val="18"/>
              </w:rPr>
            </w:pPr>
          </w:p>
        </w:tc>
        <w:tc>
          <w:tcPr>
            <w:tcW w:w="669" w:type="dxa"/>
            <w:tcBorders>
              <w:top w:val="single" w:color="auto" w:sz="4" w:space="0"/>
              <w:left w:val="single" w:color="auto" w:sz="4" w:space="0"/>
              <w:bottom w:val="single" w:color="auto" w:sz="4"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在岗职工</w:t>
            </w:r>
          </w:p>
        </w:tc>
        <w:tc>
          <w:tcPr>
            <w:tcW w:w="653" w:type="dxa"/>
            <w:tcBorders>
              <w:top w:val="single" w:color="auto" w:sz="4" w:space="0"/>
              <w:left w:val="single" w:color="auto" w:sz="2" w:space="0"/>
              <w:bottom w:val="single" w:color="auto" w:sz="4"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劳务派遣人员</w:t>
            </w:r>
          </w:p>
        </w:tc>
        <w:tc>
          <w:tcPr>
            <w:tcW w:w="654"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其他从业人员</w:t>
            </w:r>
          </w:p>
        </w:tc>
        <w:tc>
          <w:tcPr>
            <w:tcW w:w="708" w:type="dxa"/>
            <w:vMerge w:val="continue"/>
            <w:tcBorders>
              <w:left w:val="single" w:color="auto" w:sz="2" w:space="0"/>
              <w:bottom w:val="single" w:color="auto" w:sz="4" w:space="0"/>
              <w:right w:val="single" w:color="auto" w:sz="4" w:space="0"/>
            </w:tcBorders>
            <w:vAlign w:val="center"/>
          </w:tcPr>
          <w:p>
            <w:pPr>
              <w:spacing w:line="240" w:lineRule="exact"/>
              <w:jc w:val="left"/>
              <w:rPr>
                <w:rFonts w:ascii="宋体" w:hAnsi="宋体" w:cs="宋体"/>
                <w:color w:val="000000"/>
                <w:sz w:val="18"/>
                <w:szCs w:val="18"/>
              </w:rPr>
            </w:pPr>
          </w:p>
        </w:tc>
        <w:tc>
          <w:tcPr>
            <w:tcW w:w="624" w:type="dxa"/>
            <w:gridSpan w:val="2"/>
            <w:tcBorders>
              <w:top w:val="single" w:color="auto" w:sz="4" w:space="0"/>
              <w:left w:val="single" w:color="auto" w:sz="4" w:space="0"/>
              <w:bottom w:val="single" w:color="auto" w:sz="4"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在岗职工</w:t>
            </w:r>
          </w:p>
        </w:tc>
        <w:tc>
          <w:tcPr>
            <w:tcW w:w="624" w:type="dxa"/>
            <w:tcBorders>
              <w:top w:val="single" w:color="auto" w:sz="4" w:space="0"/>
              <w:left w:val="single" w:color="auto" w:sz="2" w:space="0"/>
              <w:bottom w:val="single" w:color="auto" w:sz="4" w:space="0"/>
              <w:right w:val="single" w:color="auto" w:sz="2" w:space="0"/>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劳务派遣人员</w:t>
            </w:r>
          </w:p>
        </w:tc>
        <w:tc>
          <w:tcPr>
            <w:tcW w:w="628" w:type="dxa"/>
            <w:tcBorders>
              <w:top w:val="single" w:color="auto" w:sz="4" w:space="0"/>
              <w:left w:val="single" w:color="auto" w:sz="2" w:space="0"/>
              <w:bottom w:val="single" w:color="auto" w:sz="4" w:space="0"/>
              <w:right w:val="nil"/>
            </w:tcBorders>
            <w:vAlign w:val="center"/>
          </w:tcPr>
          <w:p>
            <w:pPr>
              <w:spacing w:line="240" w:lineRule="exact"/>
              <w:jc w:val="left"/>
              <w:rPr>
                <w:rFonts w:ascii="宋体" w:hAnsi="宋体" w:cs="宋体"/>
                <w:color w:val="000000"/>
                <w:sz w:val="18"/>
                <w:szCs w:val="18"/>
              </w:rPr>
            </w:pPr>
            <w:r>
              <w:rPr>
                <w:rFonts w:hint="eastAsia" w:ascii="宋体" w:hAnsi="宋体" w:cs="宋体"/>
                <w:color w:val="000000"/>
                <w:sz w:val="18"/>
                <w:szCs w:val="18"/>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p>
        </w:tc>
        <w:tc>
          <w:tcPr>
            <w:tcW w:w="735"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01</w:t>
            </w:r>
          </w:p>
        </w:tc>
        <w:tc>
          <w:tcPr>
            <w:tcW w:w="659"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02</w:t>
            </w:r>
          </w:p>
        </w:tc>
        <w:tc>
          <w:tcPr>
            <w:tcW w:w="594"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04</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05</w:t>
            </w:r>
          </w:p>
        </w:tc>
        <w:tc>
          <w:tcPr>
            <w:tcW w:w="646"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06</w:t>
            </w:r>
          </w:p>
        </w:tc>
        <w:tc>
          <w:tcPr>
            <w:tcW w:w="624"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08</w:t>
            </w:r>
          </w:p>
        </w:tc>
        <w:tc>
          <w:tcPr>
            <w:tcW w:w="669"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09</w:t>
            </w:r>
          </w:p>
        </w:tc>
        <w:tc>
          <w:tcPr>
            <w:tcW w:w="653"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654"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11</w:t>
            </w:r>
          </w:p>
        </w:tc>
        <w:tc>
          <w:tcPr>
            <w:tcW w:w="708"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624"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624" w:type="dxa"/>
            <w:tcBorders>
              <w:top w:val="single" w:color="auto" w:sz="4"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628" w:type="dxa"/>
            <w:tcBorders>
              <w:top w:val="single" w:color="auto" w:sz="4" w:space="0"/>
              <w:left w:val="single" w:color="auto" w:sz="2" w:space="0"/>
              <w:bottom w:val="single" w:color="auto" w:sz="4"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1月</w:t>
            </w:r>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2月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3月</w:t>
            </w:r>
          </w:p>
        </w:tc>
        <w:tc>
          <w:tcPr>
            <w:tcW w:w="73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4月</w:t>
            </w:r>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5月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6月</w:t>
            </w:r>
          </w:p>
        </w:tc>
        <w:tc>
          <w:tcPr>
            <w:tcW w:w="735"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7月</w:t>
            </w:r>
          </w:p>
        </w:tc>
        <w:tc>
          <w:tcPr>
            <w:tcW w:w="735"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8月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9月</w:t>
            </w:r>
          </w:p>
        </w:tc>
        <w:tc>
          <w:tcPr>
            <w:tcW w:w="735"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single" w:color="auto" w:sz="4" w:space="0"/>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single" w:color="auto" w:sz="4"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10月</w:t>
            </w:r>
          </w:p>
        </w:tc>
        <w:tc>
          <w:tcPr>
            <w:tcW w:w="735"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single" w:color="auto" w:sz="4" w:space="0"/>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11月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12月</w:t>
            </w:r>
          </w:p>
        </w:tc>
        <w:tc>
          <w:tcPr>
            <w:tcW w:w="735"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628" w:type="dxa"/>
            <w:tcBorders>
              <w:top w:val="nil"/>
              <w:left w:val="single" w:color="auto" w:sz="2" w:space="0"/>
              <w:bottom w:val="nil"/>
              <w:right w:val="nil"/>
            </w:tcBorders>
            <w:shd w:val="clear" w:color="auto" w:fill="FFFFF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r>
              <w:rPr>
                <w:rFonts w:hint="eastAsia" w:ascii="宋体" w:hAnsi="宋体" w:cs="宋体"/>
                <w:sz w:val="18"/>
                <w:szCs w:val="18"/>
              </w:rPr>
              <w:t>本季</w:t>
            </w:r>
          </w:p>
        </w:tc>
        <w:tc>
          <w:tcPr>
            <w:tcW w:w="735"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9"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59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46"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9"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3"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708"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4"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8" w:type="dxa"/>
            <w:tcBorders>
              <w:top w:val="nil"/>
              <w:left w:val="single" w:color="auto" w:sz="2" w:space="0"/>
              <w:bottom w:val="nil"/>
              <w:right w:val="nil"/>
            </w:tcBorders>
            <w:shd w:val="clear" w:color="auto" w:fill="BEBEBE" w:themeFill="background1" w:themeFillShade="BF"/>
            <w:noWrap/>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jc w:val="center"/>
        </w:trPr>
        <w:tc>
          <w:tcPr>
            <w:tcW w:w="896" w:type="dxa"/>
            <w:gridSpan w:val="2"/>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r>
              <w:rPr>
                <w:rFonts w:hint="eastAsia" w:ascii="宋体" w:hAnsi="宋体" w:cs="宋体"/>
                <w:sz w:val="18"/>
                <w:szCs w:val="18"/>
              </w:rPr>
              <w:t>1-本季</w:t>
            </w:r>
          </w:p>
        </w:tc>
        <w:tc>
          <w:tcPr>
            <w:tcW w:w="735"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9"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59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46"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69"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3"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54"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708"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4"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4"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628" w:type="dxa"/>
            <w:tcBorders>
              <w:top w:val="nil"/>
              <w:left w:val="single" w:color="auto" w:sz="2" w:space="0"/>
              <w:bottom w:val="single" w:color="000000" w:sz="8" w:space="0"/>
              <w:right w:val="nil"/>
            </w:tcBorders>
            <w:shd w:val="clear" w:color="auto" w:fill="BEBEBE" w:themeFill="background1" w:themeFillShade="BF"/>
            <w:noWrap/>
            <w:vAlign w:val="center"/>
          </w:tcPr>
          <w:p>
            <w:pPr>
              <w:jc w:val="center"/>
              <w:rPr>
                <w:rFonts w:ascii="宋体" w:hAnsi="宋体" w:cs="宋体"/>
                <w:color w:val="000000"/>
                <w:sz w:val="18"/>
                <w:szCs w:val="18"/>
              </w:rPr>
            </w:pPr>
          </w:p>
        </w:tc>
      </w:tr>
    </w:tbl>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 续表</w:t>
      </w:r>
    </w:p>
    <w:tbl>
      <w:tblPr>
        <w:tblStyle w:val="20"/>
        <w:tblW w:w="9355" w:type="dxa"/>
        <w:tblInd w:w="0"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
        <w:gridCol w:w="920"/>
        <w:gridCol w:w="920"/>
        <w:gridCol w:w="920"/>
        <w:gridCol w:w="734"/>
        <w:gridCol w:w="212"/>
        <w:gridCol w:w="714"/>
        <w:gridCol w:w="232"/>
        <w:gridCol w:w="947"/>
        <w:gridCol w:w="946"/>
        <w:gridCol w:w="85"/>
        <w:gridCol w:w="861"/>
        <w:gridCol w:w="169"/>
        <w:gridCol w:w="775"/>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exact"/>
        </w:trPr>
        <w:tc>
          <w:tcPr>
            <w:tcW w:w="92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0"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3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6"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79"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1"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0"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75"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exact"/>
        </w:trPr>
        <w:tc>
          <w:tcPr>
            <w:tcW w:w="2760"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p>
        </w:tc>
        <w:tc>
          <w:tcPr>
            <w:tcW w:w="920" w:type="dxa"/>
            <w:vMerge w:val="restart"/>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从业人员平均工资(元)</w:t>
            </w:r>
          </w:p>
        </w:tc>
        <w:tc>
          <w:tcPr>
            <w:tcW w:w="734"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926" w:type="dxa"/>
            <w:gridSpan w:val="2"/>
            <w:vMerge w:val="restart"/>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179"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1"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1030" w:type="dxa"/>
            <w:gridSpan w:val="2"/>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c>
          <w:tcPr>
            <w:tcW w:w="775" w:type="dxa"/>
            <w:tcBorders>
              <w:top w:val="single" w:color="auto" w:sz="2" w:space="0"/>
              <w:left w:val="nil"/>
              <w:bottom w:val="single" w:color="auto" w:sz="2" w:space="0"/>
              <w:right w:val="nil"/>
            </w:tcBorders>
            <w:vAlign w:val="center"/>
          </w:tcPr>
          <w:p>
            <w:pPr>
              <w:jc w:val="center"/>
              <w:rPr>
                <w:rFonts w:ascii="宋体" w:hAnsi="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60" w:type="dxa"/>
            <w:gridSpan w:val="3"/>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c>
          <w:tcPr>
            <w:tcW w:w="920"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2839"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按人员类型分组</w:t>
            </w:r>
          </w:p>
        </w:tc>
        <w:tc>
          <w:tcPr>
            <w:tcW w:w="2836" w:type="dxa"/>
            <w:gridSpan w:val="5"/>
            <w:tcBorders>
              <w:top w:val="single" w:color="auto" w:sz="2" w:space="0"/>
              <w:left w:val="single" w:color="auto" w:sz="2"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20" w:type="dxa"/>
            <w:tcBorders>
              <w:top w:val="single" w:color="auto" w:sz="2" w:space="0"/>
              <w:left w:val="nil"/>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w:t>
            </w:r>
          </w:p>
          <w:p>
            <w:pPr>
              <w:jc w:val="center"/>
              <w:rPr>
                <w:rFonts w:ascii="宋体" w:hAnsi="宋体" w:cs="宋体"/>
                <w:color w:val="000000"/>
                <w:sz w:val="18"/>
                <w:szCs w:val="18"/>
              </w:rPr>
            </w:pPr>
            <w:r>
              <w:rPr>
                <w:rFonts w:hint="eastAsia" w:ascii="宋体" w:hAnsi="宋体" w:cs="宋体"/>
                <w:color w:val="000000"/>
                <w:sz w:val="18"/>
                <w:szCs w:val="18"/>
              </w:rPr>
              <w:t>工资</w:t>
            </w:r>
          </w:p>
        </w:tc>
        <w:tc>
          <w:tcPr>
            <w:tcW w:w="9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rFonts w:ascii="宋体" w:hAnsi="宋体" w:cs="宋体"/>
                <w:color w:val="000000"/>
                <w:sz w:val="18"/>
                <w:szCs w:val="18"/>
              </w:rPr>
            </w:pPr>
            <w:r>
              <w:rPr>
                <w:rFonts w:hint="eastAsia" w:ascii="宋体" w:hAnsi="宋体" w:cs="宋体"/>
                <w:color w:val="000000"/>
                <w:sz w:val="18"/>
                <w:szCs w:val="18"/>
              </w:rPr>
              <w:t>奖金</w:t>
            </w:r>
          </w:p>
        </w:tc>
        <w:tc>
          <w:tcPr>
            <w:tcW w:w="9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c>
          <w:tcPr>
            <w:tcW w:w="920"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在岗职工</w:t>
            </w:r>
          </w:p>
        </w:tc>
        <w:tc>
          <w:tcPr>
            <w:tcW w:w="946" w:type="dxa"/>
            <w:gridSpan w:val="2"/>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劳务派遣人员</w:t>
            </w:r>
          </w:p>
        </w:tc>
        <w:tc>
          <w:tcPr>
            <w:tcW w:w="947" w:type="dxa"/>
            <w:tcBorders>
              <w:top w:val="single" w:color="auto" w:sz="2" w:space="0"/>
              <w:left w:val="single" w:color="auto" w:sz="2" w:space="0"/>
              <w:bottom w:val="single" w:color="auto" w:sz="2" w:space="0"/>
              <w:right w:val="single" w:color="auto" w:sz="2" w:space="0"/>
            </w:tcBorders>
            <w:vAlign w:val="center"/>
          </w:tcPr>
          <w:p>
            <w:pPr>
              <w:jc w:val="center"/>
              <w:rPr>
                <w:color w:val="000000"/>
              </w:rPr>
            </w:pPr>
            <w:r>
              <w:rPr>
                <w:rFonts w:hint="eastAsia" w:ascii="宋体" w:hAnsi="宋体" w:cs="宋体"/>
                <w:color w:val="000000"/>
                <w:sz w:val="18"/>
                <w:szCs w:val="18"/>
              </w:rPr>
              <w:t>其他从业人员</w:t>
            </w:r>
          </w:p>
        </w:tc>
        <w:tc>
          <w:tcPr>
            <w:tcW w:w="946"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正常工资</w:t>
            </w:r>
          </w:p>
        </w:tc>
        <w:tc>
          <w:tcPr>
            <w:tcW w:w="946"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不定期</w:t>
            </w:r>
          </w:p>
          <w:p>
            <w:pPr>
              <w:jc w:val="center"/>
              <w:rPr>
                <w:color w:val="000000"/>
              </w:rPr>
            </w:pPr>
            <w:r>
              <w:rPr>
                <w:rFonts w:hint="eastAsia" w:ascii="宋体" w:hAnsi="宋体" w:cs="宋体"/>
                <w:color w:val="000000"/>
                <w:sz w:val="18"/>
                <w:szCs w:val="18"/>
              </w:rPr>
              <w:t>奖金</w:t>
            </w:r>
          </w:p>
        </w:tc>
        <w:tc>
          <w:tcPr>
            <w:tcW w:w="944" w:type="dxa"/>
            <w:gridSpan w:val="2"/>
            <w:tcBorders>
              <w:top w:val="single" w:color="auto" w:sz="2" w:space="0"/>
              <w:left w:val="single" w:color="auto" w:sz="4" w:space="0"/>
              <w:bottom w:val="single" w:color="auto" w:sz="2" w:space="0"/>
              <w:right w:val="nil"/>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exact"/>
        </w:trPr>
        <w:tc>
          <w:tcPr>
            <w:tcW w:w="920" w:type="dxa"/>
            <w:tcBorders>
              <w:top w:val="single" w:color="auto" w:sz="2" w:space="0"/>
              <w:left w:val="nil"/>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920"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920"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920"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20</w:t>
            </w:r>
          </w:p>
        </w:tc>
        <w:tc>
          <w:tcPr>
            <w:tcW w:w="946"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21</w:t>
            </w:r>
          </w:p>
        </w:tc>
        <w:tc>
          <w:tcPr>
            <w:tcW w:w="946" w:type="dxa"/>
            <w:gridSpan w:val="2"/>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22</w:t>
            </w:r>
          </w:p>
        </w:tc>
        <w:tc>
          <w:tcPr>
            <w:tcW w:w="947" w:type="dxa"/>
            <w:tcBorders>
              <w:top w:val="single" w:color="auto" w:sz="2" w:space="0"/>
              <w:left w:val="single" w:color="auto" w:sz="2" w:space="0"/>
              <w:bottom w:val="single" w:color="auto" w:sz="2" w:space="0"/>
              <w:right w:val="single" w:color="auto" w:sz="2" w:space="0"/>
            </w:tcBorders>
            <w:noWrap/>
            <w:vAlign w:val="center"/>
          </w:tcPr>
          <w:p>
            <w:pPr>
              <w:jc w:val="center"/>
              <w:rPr>
                <w:color w:val="000000"/>
              </w:rPr>
            </w:pPr>
            <w:r>
              <w:rPr>
                <w:rFonts w:hint="eastAsia" w:ascii="宋体" w:hAnsi="宋体" w:cs="宋体"/>
                <w:color w:val="000000"/>
                <w:sz w:val="18"/>
                <w:szCs w:val="18"/>
              </w:rPr>
              <w:t>23</w:t>
            </w:r>
          </w:p>
        </w:tc>
        <w:tc>
          <w:tcPr>
            <w:tcW w:w="946" w:type="dxa"/>
            <w:tcBorders>
              <w:top w:val="single" w:color="auto" w:sz="2" w:space="0"/>
              <w:left w:val="single" w:color="auto" w:sz="2" w:space="0"/>
              <w:bottom w:val="single" w:color="auto" w:sz="2" w:space="0"/>
              <w:right w:val="single" w:color="auto" w:sz="4" w:space="0"/>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946" w:type="dxa"/>
            <w:gridSpan w:val="2"/>
            <w:tcBorders>
              <w:top w:val="single" w:color="auto" w:sz="2" w:space="0"/>
              <w:left w:val="single" w:color="auto" w:sz="4" w:space="0"/>
              <w:bottom w:val="single" w:color="auto" w:sz="2" w:space="0"/>
              <w:right w:val="nil"/>
            </w:tcBorders>
            <w:noWrap/>
            <w:vAlign w:val="center"/>
          </w:tcPr>
          <w:p>
            <w:pPr>
              <w:jc w:val="center"/>
              <w:rPr>
                <w:color w:val="000000"/>
              </w:rPr>
            </w:pPr>
            <w:r>
              <w:rPr>
                <w:rFonts w:hint="eastAsia" w:ascii="宋体" w:hAnsi="宋体" w:cs="宋体"/>
                <w:color w:val="000000"/>
                <w:sz w:val="18"/>
                <w:szCs w:val="18"/>
              </w:rPr>
              <w:t>25</w:t>
            </w:r>
          </w:p>
        </w:tc>
        <w:tc>
          <w:tcPr>
            <w:tcW w:w="944" w:type="dxa"/>
            <w:gridSpan w:val="2"/>
            <w:tcBorders>
              <w:top w:val="single" w:color="auto" w:sz="2" w:space="0"/>
              <w:left w:val="single" w:color="auto" w:sz="4" w:space="0"/>
              <w:bottom w:val="single" w:color="auto" w:sz="2" w:space="0"/>
              <w:right w:val="nil"/>
            </w:tcBorders>
            <w:noWrap/>
            <w:vAlign w:val="center"/>
          </w:tcPr>
          <w:p>
            <w:pPr>
              <w:jc w:val="center"/>
              <w:rPr>
                <w:rFonts w:ascii="宋体" w:hAnsi="宋体" w:cs="宋体"/>
                <w:color w:val="000000"/>
                <w:sz w:val="18"/>
                <w:szCs w:val="18"/>
              </w:rPr>
            </w:pPr>
            <w:r>
              <w:rPr>
                <w:rFonts w:hint="eastAsia" w:ascii="宋体" w:hAnsi="宋体" w:cs="宋体"/>
                <w:color w:val="000000"/>
                <w:sz w:val="18"/>
                <w:szCs w:val="18"/>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single" w:color="auto" w:sz="2"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single" w:color="auto" w:sz="2" w:space="0"/>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single" w:color="auto" w:sz="2"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single" w:color="auto" w:sz="2"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2"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2"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2"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2"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auto" w:sz="4"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auto" w:sz="4" w:space="0"/>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auto" w:sz="4" w:space="0"/>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single" w:color="auto" w:sz="4" w:space="0"/>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single" w:color="auto" w:sz="4" w:space="0"/>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single" w:color="auto" w:sz="4" w:space="0"/>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single" w:color="auto" w:sz="4" w:space="0"/>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single" w:color="auto" w:sz="4" w:space="0"/>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single" w:color="auto" w:sz="4"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4" w:space="0"/>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4" w:space="0"/>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single" w:color="auto" w:sz="4" w:space="0"/>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single" w:color="auto" w:sz="4" w:space="0"/>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single" w:color="auto" w:sz="4" w:space="0"/>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single" w:color="auto" w:sz="4" w:space="0"/>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auto"/>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FBF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FBF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FBF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FBF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0"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47" w:type="dxa"/>
            <w:tcBorders>
              <w:top w:val="nil"/>
              <w:left w:val="single" w:color="auto" w:sz="2" w:space="0"/>
              <w:bottom w:val="nil"/>
              <w:right w:val="single" w:color="auto" w:sz="2" w:space="0"/>
            </w:tcBorders>
            <w:shd w:val="clear" w:color="auto" w:fill="BEBEBE" w:themeFill="background1" w:themeFillShade="BF"/>
            <w:noWrap/>
            <w:vAlign w:val="center"/>
          </w:tcPr>
          <w:p>
            <w:pPr>
              <w:jc w:val="center"/>
              <w:rPr>
                <w:color w:val="000000"/>
              </w:rPr>
            </w:pPr>
          </w:p>
        </w:tc>
        <w:tc>
          <w:tcPr>
            <w:tcW w:w="946" w:type="dxa"/>
            <w:tcBorders>
              <w:top w:val="nil"/>
              <w:left w:val="single" w:color="auto" w:sz="2" w:space="0"/>
              <w:bottom w:val="nil"/>
              <w:right w:val="single" w:color="auto" w:sz="4"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c>
          <w:tcPr>
            <w:tcW w:w="944" w:type="dxa"/>
            <w:gridSpan w:val="2"/>
            <w:tcBorders>
              <w:top w:val="nil"/>
              <w:left w:val="single" w:color="auto" w:sz="4" w:space="0"/>
              <w:bottom w:val="nil"/>
              <w:right w:val="nil"/>
            </w:tcBorders>
            <w:shd w:val="clear" w:color="auto" w:fill="BEBEBE" w:themeFill="background1" w:themeFillShade="BF"/>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exact"/>
        </w:trPr>
        <w:tc>
          <w:tcPr>
            <w:tcW w:w="920" w:type="dxa"/>
            <w:tcBorders>
              <w:top w:val="nil"/>
              <w:left w:val="nil"/>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20"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46" w:type="dxa"/>
            <w:gridSpan w:val="2"/>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47" w:type="dxa"/>
            <w:tcBorders>
              <w:top w:val="nil"/>
              <w:left w:val="single" w:color="auto" w:sz="2" w:space="0"/>
              <w:bottom w:val="single" w:color="000000" w:sz="8" w:space="0"/>
              <w:right w:val="single" w:color="auto" w:sz="2" w:space="0"/>
            </w:tcBorders>
            <w:shd w:val="clear" w:color="auto" w:fill="BEBEBE" w:themeFill="background1" w:themeFillShade="BF"/>
            <w:noWrap/>
            <w:vAlign w:val="center"/>
          </w:tcPr>
          <w:p>
            <w:pPr>
              <w:jc w:val="center"/>
              <w:rPr>
                <w:color w:val="000000"/>
              </w:rPr>
            </w:pPr>
          </w:p>
        </w:tc>
        <w:tc>
          <w:tcPr>
            <w:tcW w:w="946" w:type="dxa"/>
            <w:tcBorders>
              <w:top w:val="nil"/>
              <w:left w:val="single" w:color="auto" w:sz="2" w:space="0"/>
              <w:bottom w:val="single" w:color="000000" w:sz="8" w:space="0"/>
              <w:right w:val="single" w:color="auto" w:sz="4" w:space="0"/>
            </w:tcBorders>
            <w:shd w:val="clear" w:color="auto" w:fill="BEBEBE" w:themeFill="background1" w:themeFillShade="BF"/>
            <w:noWrap/>
            <w:vAlign w:val="center"/>
          </w:tcPr>
          <w:p>
            <w:pPr>
              <w:jc w:val="center"/>
              <w:rPr>
                <w:rFonts w:ascii="宋体" w:hAnsi="宋体" w:cs="宋体"/>
                <w:color w:val="000000"/>
                <w:sz w:val="18"/>
                <w:szCs w:val="18"/>
              </w:rPr>
            </w:pPr>
          </w:p>
        </w:tc>
        <w:tc>
          <w:tcPr>
            <w:tcW w:w="946"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c>
          <w:tcPr>
            <w:tcW w:w="944" w:type="dxa"/>
            <w:gridSpan w:val="2"/>
            <w:tcBorders>
              <w:top w:val="nil"/>
              <w:left w:val="single" w:color="auto" w:sz="4" w:space="0"/>
              <w:bottom w:val="single" w:color="000000" w:sz="8" w:space="0"/>
              <w:right w:val="nil"/>
            </w:tcBorders>
            <w:shd w:val="clear" w:color="auto" w:fill="BEBEBE" w:themeFill="background1" w:themeFillShade="BF"/>
            <w:noWrap/>
            <w:vAlign w:val="center"/>
          </w:tcPr>
          <w:p>
            <w:pPr>
              <w:jc w:val="center"/>
              <w:rPr>
                <w:color w:val="000000"/>
              </w:rPr>
            </w:pPr>
          </w:p>
        </w:tc>
      </w:tr>
    </w:tbl>
    <w:p>
      <w:pPr>
        <w:spacing w:line="240" w:lineRule="exact"/>
        <w:rPr>
          <w:rFonts w:ascii="宋体" w:hAnsi="宋体" w:cs="宋体"/>
          <w:bCs/>
          <w:color w:val="000000"/>
          <w:kern w:val="0"/>
          <w:sz w:val="18"/>
          <w:szCs w:val="18"/>
        </w:rPr>
      </w:pPr>
      <w:r>
        <w:rPr>
          <w:rFonts w:hint="eastAsia" w:ascii="宋体" w:hAnsi="宋体" w:cs="宋体"/>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40" w:lineRule="exact"/>
        <w:ind w:left="1524" w:leftChars="-1" w:hanging="1526" w:hangingChars="848"/>
        <w:rPr>
          <w:rFonts w:ascii="宋体"/>
          <w:color w:val="000000"/>
          <w:sz w:val="18"/>
        </w:rPr>
      </w:pPr>
    </w:p>
    <w:p>
      <w:pPr>
        <w:kinsoku w:val="0"/>
        <w:overflowPunct w:val="0"/>
        <w:adjustRightInd w:val="0"/>
        <w:snapToGrid w:val="0"/>
        <w:spacing w:line="220" w:lineRule="exact"/>
        <w:ind w:left="1619" w:leftChars="-1" w:hanging="1621" w:hangingChars="901"/>
        <w:jc w:val="left"/>
        <w:rPr>
          <w:rFonts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辖区内全部机关、事业法人单位。</w:t>
      </w:r>
    </w:p>
    <w:p>
      <w:pPr>
        <w:snapToGrid w:val="0"/>
        <w:spacing w:line="220" w:lineRule="exact"/>
        <w:ind w:left="2160" w:leftChars="257" w:hanging="1620" w:hangingChars="900"/>
        <w:jc w:val="left"/>
        <w:rPr>
          <w:rFonts w:ascii="宋体"/>
          <w:color w:val="000000"/>
          <w:sz w:val="18"/>
        </w:rPr>
      </w:pPr>
      <w:r>
        <w:rPr>
          <w:rFonts w:hint="eastAsia" w:ascii="宋体" w:hAnsi="宋体" w:cs="宋体"/>
          <w:bCs/>
          <w:color w:val="000000"/>
          <w:kern w:val="0"/>
          <w:sz w:val="18"/>
          <w:szCs w:val="18"/>
        </w:rPr>
        <w:t>2.报送日期及方式：每季度末月</w:t>
      </w:r>
      <w:r>
        <w:rPr>
          <w:rFonts w:ascii="宋体" w:hAnsi="宋体" w:cs="宋体"/>
          <w:bCs/>
          <w:color w:val="000000"/>
          <w:kern w:val="0"/>
          <w:sz w:val="18"/>
          <w:szCs w:val="18"/>
        </w:rPr>
        <w:t>10</w:t>
      </w:r>
      <w:r>
        <w:rPr>
          <w:rFonts w:hint="eastAsia" w:ascii="宋体" w:hAnsi="宋体" w:cs="宋体"/>
          <w:bCs/>
          <w:color w:val="000000"/>
          <w:kern w:val="0"/>
          <w:sz w:val="18"/>
          <w:szCs w:val="18"/>
        </w:rPr>
        <w:t>日</w:t>
      </w:r>
      <w:r>
        <w:rPr>
          <w:rFonts w:ascii="宋体" w:hAnsi="宋体" w:cs="宋体"/>
          <w:bCs/>
          <w:color w:val="000000"/>
          <w:kern w:val="0"/>
          <w:sz w:val="18"/>
          <w:szCs w:val="18"/>
        </w:rPr>
        <w:t>0:00开网；</w:t>
      </w:r>
      <w:r>
        <w:rPr>
          <w:rFonts w:hint="eastAsia" w:ascii="宋体"/>
          <w:color w:val="000000"/>
          <w:sz w:val="18"/>
        </w:rPr>
        <w:t>调查单位一季度季后4日、二季度季后</w:t>
      </w:r>
      <w:r>
        <w:rPr>
          <w:rFonts w:ascii="宋体"/>
          <w:color w:val="000000"/>
          <w:sz w:val="18"/>
          <w:highlight w:val="none"/>
        </w:rPr>
        <w:t>4</w:t>
      </w:r>
      <w:r>
        <w:rPr>
          <w:rFonts w:hint="eastAsia" w:ascii="宋体"/>
          <w:color w:val="000000"/>
          <w:sz w:val="18"/>
        </w:rPr>
        <w:t>日、三季度季后10日、</w:t>
      </w:r>
      <w:r>
        <w:rPr>
          <w:rFonts w:hint="eastAsia" w:ascii="宋体"/>
          <w:color w:val="000000"/>
          <w:sz w:val="18"/>
          <w:highlight w:val="none"/>
        </w:rPr>
        <w:t>四季度</w:t>
      </w:r>
      <w:r>
        <w:rPr>
          <w:rFonts w:hint="eastAsia" w:ascii="宋体" w:hAnsi="宋体"/>
          <w:sz w:val="18"/>
          <w:szCs w:val="18"/>
          <w:highlight w:val="none"/>
        </w:rPr>
        <w:t>次年</w:t>
      </w:r>
      <w:r>
        <w:rPr>
          <w:rFonts w:ascii="宋体" w:hAnsi="宋体"/>
          <w:sz w:val="18"/>
          <w:szCs w:val="18"/>
          <w:highlight w:val="none"/>
        </w:rPr>
        <w:t>1月5日</w:t>
      </w:r>
      <w:r>
        <w:rPr>
          <w:rFonts w:hint="eastAsia" w:ascii="宋体"/>
          <w:color w:val="000000"/>
          <w:sz w:val="18"/>
        </w:rPr>
        <w:t>12:00前网上填报</w:t>
      </w:r>
      <w:r>
        <w:rPr>
          <w:rFonts w:hint="eastAsia" w:ascii="宋体" w:hAnsi="宋体" w:cs="宋体"/>
          <w:sz w:val="18"/>
          <w:szCs w:val="18"/>
        </w:rPr>
        <w:t>，</w:t>
      </w:r>
      <w:r>
        <w:rPr>
          <w:rFonts w:hint="eastAsia" w:ascii="宋体" w:hAnsi="宋体"/>
          <w:color w:val="000000"/>
          <w:sz w:val="18"/>
          <w:szCs w:val="18"/>
        </w:rPr>
        <w:t>无法进行网络直报的单位可通过其他形式报送，再由统计机构代录至平台</w:t>
      </w:r>
      <w:r>
        <w:rPr>
          <w:rFonts w:hint="eastAsia" w:ascii="宋体"/>
          <w:color w:val="000000"/>
          <w:spacing w:val="-2"/>
          <w:sz w:val="18"/>
          <w:szCs w:val="18"/>
        </w:rPr>
        <w:t>；</w:t>
      </w:r>
      <w:r>
        <w:rPr>
          <w:rFonts w:hint="eastAsia" w:ascii="宋体"/>
          <w:color w:val="000000"/>
          <w:sz w:val="18"/>
        </w:rPr>
        <w:t>市级统计机构一季度季后</w:t>
      </w:r>
      <w:r>
        <w:rPr>
          <w:rFonts w:ascii="宋体"/>
          <w:color w:val="000000"/>
          <w:sz w:val="18"/>
        </w:rPr>
        <w:t>7</w:t>
      </w:r>
      <w:r>
        <w:rPr>
          <w:rFonts w:hint="eastAsia" w:ascii="宋体"/>
          <w:color w:val="000000"/>
          <w:sz w:val="18"/>
        </w:rPr>
        <w:t>日、二季度季后</w:t>
      </w:r>
      <w:r>
        <w:rPr>
          <w:rFonts w:ascii="宋体"/>
          <w:color w:val="000000"/>
          <w:sz w:val="18"/>
        </w:rPr>
        <w:t>6</w:t>
      </w:r>
      <w:r>
        <w:rPr>
          <w:rFonts w:hint="eastAsia" w:ascii="宋体"/>
          <w:color w:val="000000"/>
          <w:sz w:val="18"/>
        </w:rPr>
        <w:t>日、三季度季后</w:t>
      </w:r>
      <w:r>
        <w:rPr>
          <w:rFonts w:ascii="宋体"/>
          <w:color w:val="000000"/>
          <w:sz w:val="18"/>
        </w:rPr>
        <w:t>12</w:t>
      </w:r>
      <w:r>
        <w:rPr>
          <w:rFonts w:hint="eastAsia" w:ascii="宋体"/>
          <w:color w:val="000000"/>
          <w:sz w:val="18"/>
        </w:rPr>
        <w:t>日、</w:t>
      </w:r>
      <w:r>
        <w:rPr>
          <w:rFonts w:hint="eastAsia" w:ascii="宋体"/>
          <w:color w:val="000000"/>
          <w:sz w:val="18"/>
          <w:highlight w:val="none"/>
        </w:rPr>
        <w:t>四季度</w:t>
      </w:r>
      <w:r>
        <w:rPr>
          <w:rFonts w:hint="eastAsia" w:ascii="宋体"/>
          <w:color w:val="000000"/>
          <w:sz w:val="18"/>
        </w:rPr>
        <w:t>次年1月</w:t>
      </w:r>
      <w:r>
        <w:rPr>
          <w:rFonts w:ascii="宋体"/>
          <w:color w:val="000000"/>
          <w:sz w:val="18"/>
        </w:rPr>
        <w:t>7</w:t>
      </w:r>
      <w:r>
        <w:rPr>
          <w:rFonts w:hint="eastAsia" w:ascii="宋体"/>
          <w:color w:val="000000"/>
          <w:sz w:val="18"/>
        </w:rPr>
        <w:t>日24:00前完成数据的审核、验收、上报。</w:t>
      </w:r>
    </w:p>
    <w:p>
      <w:pPr>
        <w:snapToGrid w:val="0"/>
        <w:spacing w:line="220" w:lineRule="exact"/>
        <w:ind w:left="723" w:leftChars="257" w:hanging="183" w:hangingChars="102"/>
        <w:jc w:val="left"/>
        <w:rPr>
          <w:rFonts w:ascii="宋体"/>
          <w:color w:val="000000"/>
          <w:sz w:val="18"/>
        </w:rPr>
      </w:pPr>
      <w:r>
        <w:rPr>
          <w:rFonts w:hint="eastAsia" w:ascii="宋体"/>
          <w:color w:val="000000"/>
          <w:sz w:val="18"/>
        </w:rPr>
        <w:t>3.从业人员平均工资由联网直报平台根据调查单位填报数据计算生成，</w:t>
      </w:r>
      <w:r>
        <w:rPr>
          <w:rFonts w:hint="eastAsia" w:ascii="宋体" w:hAnsi="宋体" w:cs="宋体"/>
          <w:color w:val="000000"/>
          <w:sz w:val="18"/>
          <w:szCs w:val="18"/>
        </w:rPr>
        <w:t>从业人员期末人数、从业人员平均人数、从业人员工资总额、从业人员平均工资及其分组</w:t>
      </w:r>
      <w:r>
        <w:rPr>
          <w:rFonts w:hint="eastAsia" w:ascii="宋体"/>
          <w:color w:val="000000"/>
          <w:sz w:val="18"/>
        </w:rPr>
        <w:t>的“本季”和“1-本季”累计数由联网直报平台根据调查单位填报数据计算生成，调查单位无需填写。</w:t>
      </w:r>
    </w:p>
    <w:p>
      <w:pPr>
        <w:snapToGrid w:val="0"/>
        <w:spacing w:line="220" w:lineRule="exact"/>
        <w:ind w:left="2160" w:leftChars="257" w:hanging="1620" w:hangingChars="900"/>
        <w:jc w:val="left"/>
        <w:rPr>
          <w:rFonts w:ascii="宋体"/>
          <w:color w:val="000000"/>
          <w:sz w:val="18"/>
        </w:rPr>
      </w:pPr>
      <w:r>
        <w:rPr>
          <w:rFonts w:hint="eastAsia" w:ascii="宋体"/>
          <w:color w:val="000000"/>
          <w:sz w:val="18"/>
        </w:rPr>
        <w:t>4.工资总额按实际发放时间填报，但预发工资需填报在应发月份。</w:t>
      </w:r>
    </w:p>
    <w:p>
      <w:pPr>
        <w:snapToGrid w:val="0"/>
        <w:spacing w:line="220" w:lineRule="exact"/>
        <w:ind w:left="723" w:leftChars="257" w:hanging="183" w:hangingChars="102"/>
        <w:jc w:val="left"/>
      </w:pPr>
      <w:r>
        <w:rPr>
          <w:rFonts w:hint="eastAsia" w:ascii="宋体"/>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snapToGrid w:val="0"/>
        <w:spacing w:line="220" w:lineRule="exact"/>
        <w:ind w:left="723" w:leftChars="257" w:hanging="183" w:hangingChars="102"/>
        <w:jc w:val="left"/>
        <w:rPr>
          <w:rFonts w:ascii="宋体"/>
          <w:color w:val="000000"/>
          <w:sz w:val="18"/>
        </w:rPr>
      </w:pPr>
      <w:r>
        <w:rPr>
          <w:rFonts w:ascii="宋体"/>
          <w:color w:val="000000"/>
          <w:sz w:val="18"/>
          <w:lang w:val="en"/>
        </w:rPr>
        <w:t>6</w:t>
      </w:r>
      <w:r>
        <w:rPr>
          <w:rFonts w:hint="eastAsia" w:ascii="宋体"/>
          <w:color w:val="000000"/>
          <w:sz w:val="18"/>
        </w:rPr>
        <w:t>.确定性审核关系：</w:t>
      </w:r>
    </w:p>
    <w:p>
      <w:pPr>
        <w:snapToGrid w:val="0"/>
        <w:spacing w:line="220" w:lineRule="exact"/>
        <w:ind w:left="0" w:leftChars="0" w:firstLine="720" w:firstLineChars="400"/>
        <w:jc w:val="left"/>
        <w:rPr>
          <w:rFonts w:ascii="宋体"/>
          <w:color w:val="000000"/>
          <w:sz w:val="18"/>
          <w:highlight w:val="none"/>
        </w:rPr>
      </w:pPr>
      <w:r>
        <w:rPr>
          <w:rFonts w:hint="eastAsia" w:ascii="宋体" w:hAnsi="宋体" w:cs="宋体"/>
          <w:color w:val="000000"/>
          <w:kern w:val="0"/>
          <w:sz w:val="18"/>
          <w:szCs w:val="18"/>
        </w:rPr>
        <w:t>（1）01≥02      （2）01=04+05+06     （3）08=09+10+11      （4）12=13+18+19     （5）12=14+15+16</w:t>
      </w:r>
      <w:r>
        <w:rPr>
          <w:rFonts w:ascii="宋体" w:hAnsi="宋体" w:cs="宋体"/>
          <w:color w:val="000000"/>
          <w:kern w:val="0"/>
          <w:sz w:val="18"/>
          <w:szCs w:val="18"/>
        </w:rPr>
        <w:t xml:space="preserve"> </w:t>
      </w:r>
    </w:p>
    <w:p>
      <w:pPr>
        <w:snapToGrid/>
        <w:spacing w:before="0" w:beforeLines="-2147483648" w:after="0" w:afterLines="-2147483648"/>
        <w:jc w:val="center"/>
        <w:outlineLvl w:val="9"/>
        <w:rPr>
          <w:rFonts w:ascii="黑体" w:hAnsi="黑体" w:eastAsia="黑体" w:cs="宋体"/>
          <w:color w:val="000000"/>
          <w:kern w:val="0"/>
          <w:sz w:val="32"/>
          <w:szCs w:val="32"/>
        </w:rPr>
      </w:pPr>
      <w:r>
        <w:rPr>
          <w:rFonts w:ascii="黑体" w:hAnsi="黑体" w:eastAsia="黑体" w:cs="宋体"/>
          <w:color w:val="000000"/>
          <w:kern w:val="0"/>
          <w:sz w:val="32"/>
          <w:szCs w:val="32"/>
        </w:rPr>
        <w:br w:type="page"/>
      </w:r>
      <w:bookmarkStart w:id="102" w:name="_Toc1156620566"/>
      <w:bookmarkStart w:id="103" w:name="_Toc605671554"/>
      <w:bookmarkStart w:id="104" w:name="_Toc2138938872"/>
      <w:bookmarkStart w:id="105" w:name="_Toc2113487404"/>
      <w:bookmarkStart w:id="106" w:name="_Toc1736695734"/>
      <w:bookmarkStart w:id="107" w:name="_Toc216440527"/>
      <w:bookmarkStart w:id="108" w:name="_Toc241996502"/>
      <w:bookmarkStart w:id="109" w:name="_Toc1113606669"/>
      <w:r>
        <w:rPr>
          <w:rFonts w:hint="eastAsia" w:ascii="黑体" w:hAnsi="黑体" w:eastAsia="黑体" w:cs="宋体"/>
          <w:color w:val="000000"/>
          <w:kern w:val="0"/>
          <w:sz w:val="32"/>
          <w:szCs w:val="32"/>
        </w:rPr>
        <w:t>四、附录</w:t>
      </w:r>
      <w:bookmarkEnd w:id="102"/>
      <w:bookmarkEnd w:id="103"/>
      <w:bookmarkEnd w:id="104"/>
      <w:bookmarkEnd w:id="105"/>
      <w:bookmarkEnd w:id="106"/>
      <w:bookmarkEnd w:id="107"/>
      <w:bookmarkEnd w:id="108"/>
      <w:bookmarkEnd w:id="109"/>
    </w:p>
    <w:p>
      <w:pPr>
        <w:autoSpaceDE w:val="0"/>
        <w:autoSpaceDN w:val="0"/>
        <w:adjustRightInd w:val="0"/>
        <w:snapToGrid w:val="0"/>
        <w:spacing w:before="120" w:beforeLines="50"/>
        <w:jc w:val="center"/>
        <w:outlineLvl w:val="1"/>
        <w:rPr>
          <w:rFonts w:ascii="黑体" w:hAnsi="黑体" w:eastAsia="黑体"/>
          <w:kern w:val="0"/>
          <w:sz w:val="28"/>
          <w:szCs w:val="28"/>
        </w:rPr>
      </w:pPr>
      <w:bookmarkStart w:id="110" w:name="_Toc1663402306"/>
      <w:bookmarkStart w:id="111" w:name="_Toc581910440"/>
      <w:bookmarkStart w:id="112" w:name="_Toc1106513351"/>
      <w:bookmarkStart w:id="113" w:name="_Toc12436279"/>
      <w:bookmarkStart w:id="114" w:name="_Toc334487244"/>
      <w:bookmarkStart w:id="115" w:name="_Toc738463129"/>
      <w:bookmarkStart w:id="116" w:name="_Toc205779157"/>
      <w:bookmarkStart w:id="117" w:name="_Toc935317670"/>
      <w:r>
        <w:rPr>
          <w:rFonts w:hint="eastAsia" w:ascii="黑体" w:hAnsi="黑体" w:eastAsia="黑体"/>
          <w:kern w:val="0"/>
          <w:sz w:val="28"/>
          <w:szCs w:val="28"/>
        </w:rPr>
        <w:t>（一）职业分类与代码表(2022年版)</w:t>
      </w:r>
      <w:bookmarkEnd w:id="110"/>
      <w:bookmarkEnd w:id="111"/>
      <w:bookmarkEnd w:id="112"/>
      <w:bookmarkEnd w:id="113"/>
      <w:bookmarkEnd w:id="114"/>
      <w:bookmarkEnd w:id="115"/>
      <w:bookmarkEnd w:id="116"/>
      <w:bookmarkEnd w:id="117"/>
    </w:p>
    <w:tbl>
      <w:tblPr>
        <w:tblStyle w:val="20"/>
        <w:tblW w:w="969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66"/>
        <w:gridCol w:w="4318"/>
        <w:gridCol w:w="666"/>
        <w:gridCol w:w="40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single" w:color="auto" w:sz="8"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10000</w:t>
            </w:r>
          </w:p>
        </w:tc>
        <w:tc>
          <w:tcPr>
            <w:tcW w:w="0" w:type="auto"/>
            <w:tcBorders>
              <w:top w:val="single" w:color="auto" w:sz="8" w:space="0"/>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color w:val="000000"/>
                <w:kern w:val="0"/>
                <w:sz w:val="18"/>
                <w:szCs w:val="18"/>
                <w:lang w:bidi="ar"/>
              </w:rPr>
              <w:t>中层及以上管理人员</w:t>
            </w:r>
          </w:p>
        </w:tc>
        <w:tc>
          <w:tcPr>
            <w:tcW w:w="0" w:type="auto"/>
            <w:tcBorders>
              <w:top w:val="single" w:color="auto" w:sz="8" w:space="0"/>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auto"/>
                <w:kern w:val="0"/>
                <w:sz w:val="18"/>
                <w:szCs w:val="18"/>
                <w:lang w:bidi="ar"/>
              </w:rPr>
              <w:t>20218</w:t>
            </w:r>
          </w:p>
        </w:tc>
        <w:tc>
          <w:tcPr>
            <w:tcW w:w="4046" w:type="dxa"/>
            <w:tcBorders>
              <w:top w:val="single" w:color="auto" w:sz="8" w:space="0"/>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auto"/>
                <w:kern w:val="0"/>
                <w:sz w:val="18"/>
                <w:szCs w:val="18"/>
                <w:lang w:bidi="ar"/>
              </w:rPr>
              <w:t xml:space="preserve">        建筑工程技术人员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10100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中国共产党机关负责人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20219</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建材工程技术人员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10200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国家机关负责人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20220</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林草工程技术人员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10201</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国家权力机关负责人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20221</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水利工程技术人员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10202</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国家行政机关负责人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20222</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海洋工程技术人员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10203</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人民政协机关负责人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20223</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纺织服装工程技术人员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10204</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监察机关负责人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20224</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食品工程技术人员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10205</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人民法院和人民检察院负责人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20225</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气象工程技术人员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10300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民主党派和工商联负责人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20226</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地震工程技术人员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人民团体和群众团体、社会组织及其他成员组织负责人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20227</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环境保护工程技术人员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10401</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人民团体和群众团体负责人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20228</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安全工程技术人员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10402</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社会团体负责人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20229</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标准化、计量、质量和认证认可工程技术人员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10403</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社会服务机构负责人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20230</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管理（工业）工程技术人员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10404</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社会中介组织负责人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20231</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检验检疫工程技术人员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10405</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基金会负责人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20232</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制药工程技术人员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10406</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宗教组织负责人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20233</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印刷复制工程技术人员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10500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基层群众自治组织负责人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20234</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工业（产品）设计工程技术人员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10600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企事业单位负责人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20235</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康复辅具工程技术人员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10601</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企业负责人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20236</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轻工工程技术人员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10602</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事业单位负责人</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20237</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国土空间规划与生态修复工程技术人员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20000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color w:val="000000"/>
                <w:kern w:val="0"/>
                <w:sz w:val="18"/>
                <w:szCs w:val="18"/>
                <w:lang w:bidi="ar"/>
              </w:rPr>
              <w:t>专业技术人员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20238</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数字技术工程技术人员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20100</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科学研究人员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20299</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其他工程技术人员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20101</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哲学研究人员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20300</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农业技术人员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20102</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经济学研究人员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20301</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土壤肥料技术人员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20103</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法学研究人员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20302</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农业技术指导人员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20104</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教育学研究人员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20303</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植物保护技术人员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20105</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历史学研究人员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20304</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园艺技术人员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20106</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自然科学和地球科学研究人员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20305</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作物遗传育种栽培技术人员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20107</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农业科学研究人员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20306</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兽医兽药技术人员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20108</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医学研究人员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20307</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畜牧与草业技术人员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20109</w:t>
            </w:r>
          </w:p>
        </w:tc>
        <w:tc>
          <w:tcPr>
            <w:tcW w:w="0" w:type="auto"/>
            <w:tcBorders>
              <w:top w:val="nil"/>
              <w:left w:val="single" w:color="auto" w:sz="2"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管理学研究人员</w:t>
            </w:r>
          </w:p>
        </w:tc>
        <w:tc>
          <w:tcPr>
            <w:tcW w:w="0" w:type="auto"/>
            <w:tcBorders>
              <w:top w:val="nil"/>
              <w:left w:val="double" w:color="auto" w:sz="4" w:space="0"/>
              <w:bottom w:val="nil"/>
              <w:right w:val="single" w:color="auto" w:sz="2"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20308</w:t>
            </w:r>
          </w:p>
        </w:tc>
        <w:tc>
          <w:tcPr>
            <w:tcW w:w="4046" w:type="dxa"/>
            <w:tcBorders>
              <w:top w:val="nil"/>
              <w:left w:val="single" w:color="auto" w:sz="2"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水产技术人员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20110</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文学、艺术学研究人员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kern w:val="0"/>
                <w:sz w:val="18"/>
                <w:szCs w:val="18"/>
              </w:rPr>
            </w:pPr>
            <w:r>
              <w:rPr>
                <w:rFonts w:ascii="宋体" w:hAnsi="宋体" w:cs="宋体"/>
                <w:color w:val="000000"/>
                <w:kern w:val="0"/>
                <w:sz w:val="18"/>
                <w:szCs w:val="18"/>
                <w:lang w:bidi="ar"/>
              </w:rPr>
              <w:t>20309</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农业工程技术人员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20111</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军事学研究人员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20399</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其他农业技术人员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20199</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其他科学研究人员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20400</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飞机和船舶技术人员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20200</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20401</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飞行人员和领航人员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20201</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地质勘探工程技术人员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20402</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船舶指挥和引航人员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20202</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测绘和地理信息工程技术人员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20499</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其他飞机和船舶技术人员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20203</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矿山工程技术人员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20500</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卫生专业技术人员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20204</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石油天然气工程技术人员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20501</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临床和口腔医师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20205</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冶金工程技术人员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20502</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中医医师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20206</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化工工程技术人员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20503</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中西医结合医师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20207</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机械工程技术人员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20504</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民族医医师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20208</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航空工程技术人员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20505</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公共卫生与健康医师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20209</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电子工程技术人员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20506</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药学技术人员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20210</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信息和通信工程技术人员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20507</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医疗卫生技术人员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20211</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电气工程技术人员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20508</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护理人员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20212</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电力工程技术人员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20509</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乡村医生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20213</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邮政和快递工程技术人员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20510</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盲人医疗按摩人员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20214</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广播电影电视及演艺设备工程技术人员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20599</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其他卫生专业技术人员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20215</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道路和水上运输工程技术人员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20600</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经济和金融专业人员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20216</w:t>
            </w:r>
          </w:p>
        </w:tc>
        <w:tc>
          <w:tcPr>
            <w:tcW w:w="0" w:type="auto"/>
            <w:tcBorders>
              <w:top w:val="nil"/>
              <w:left w:val="single" w:color="auto" w:sz="4" w:space="0"/>
              <w:bottom w:val="nil"/>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民用航空工程技术人员</w:t>
            </w:r>
          </w:p>
        </w:tc>
        <w:tc>
          <w:tcPr>
            <w:tcW w:w="0" w:type="auto"/>
            <w:tcBorders>
              <w:top w:val="nil"/>
              <w:left w:val="double" w:color="auto" w:sz="4" w:space="0"/>
              <w:bottom w:val="nil"/>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20601</w:t>
            </w:r>
          </w:p>
        </w:tc>
        <w:tc>
          <w:tcPr>
            <w:tcW w:w="4046" w:type="dxa"/>
            <w:tcBorders>
              <w:top w:val="nil"/>
              <w:left w:val="single" w:color="auto" w:sz="4" w:space="0"/>
              <w:bottom w:val="nil"/>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经济专业人员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20217</w:t>
            </w:r>
          </w:p>
        </w:tc>
        <w:tc>
          <w:tcPr>
            <w:tcW w:w="0" w:type="auto"/>
            <w:tcBorders>
              <w:top w:val="nil"/>
              <w:left w:val="single" w:color="auto" w:sz="4" w:space="0"/>
              <w:bottom w:val="single" w:color="auto" w:sz="4" w:space="0"/>
              <w:right w:val="doub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铁道工程技术人员</w:t>
            </w:r>
          </w:p>
        </w:tc>
        <w:tc>
          <w:tcPr>
            <w:tcW w:w="0" w:type="auto"/>
            <w:tcBorders>
              <w:top w:val="nil"/>
              <w:left w:val="doub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20602</w:t>
            </w:r>
          </w:p>
        </w:tc>
        <w:tc>
          <w:tcPr>
            <w:tcW w:w="4046" w:type="dxa"/>
            <w:tcBorders>
              <w:top w:val="nil"/>
              <w:left w:val="single" w:color="auto" w:sz="4" w:space="0"/>
              <w:bottom w:val="single" w:color="auto" w:sz="4" w:space="0"/>
            </w:tcBorders>
            <w:vAlign w:val="center"/>
          </w:tcPr>
          <w:p>
            <w:pPr>
              <w:widowControl/>
              <w:spacing w:line="240" w:lineRule="exact"/>
              <w:jc w:val="left"/>
              <w:textAlignment w:val="center"/>
              <w:rPr>
                <w:rFonts w:ascii="宋体" w:hAnsi="宋体" w:cs="宋体"/>
                <w:sz w:val="18"/>
                <w:szCs w:val="18"/>
              </w:rPr>
            </w:pPr>
            <w:r>
              <w:rPr>
                <w:rFonts w:ascii="宋体" w:hAnsi="宋体" w:cs="宋体"/>
                <w:color w:val="000000"/>
                <w:kern w:val="0"/>
                <w:sz w:val="18"/>
                <w:szCs w:val="18"/>
                <w:lang w:bidi="ar"/>
              </w:rPr>
              <w:t xml:space="preserve">        统计专业人员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sing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20603</w:t>
            </w:r>
          </w:p>
        </w:tc>
        <w:tc>
          <w:tcPr>
            <w:tcW w:w="0" w:type="auto"/>
            <w:tcBorders>
              <w:top w:val="single" w:color="auto" w:sz="4" w:space="0"/>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会计专业人员</w:t>
            </w:r>
          </w:p>
        </w:tc>
        <w:tc>
          <w:tcPr>
            <w:tcW w:w="0" w:type="auto"/>
            <w:tcBorders>
              <w:top w:val="single" w:color="auto" w:sz="4" w:space="0"/>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30200</w:t>
            </w:r>
          </w:p>
        </w:tc>
        <w:tc>
          <w:tcPr>
            <w:tcW w:w="4046" w:type="dxa"/>
            <w:tcBorders>
              <w:top w:val="single" w:color="auto" w:sz="4" w:space="0"/>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安全和消防及辅助人员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审计专业人员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30201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人民警察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税务专业人员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30202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保卫和警务辅助人员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资产和资源评估专业人员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30203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消防和应急救援人员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商务专业人员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30299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其他安全和消防及辅助人员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人力资源专业人员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30300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仲裁、调解及相关法律事务辅助人员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20609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银行专业人员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30301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仲裁、调解及辅助人员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20610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保险专业人员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30399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其他仲裁、调解及相关法律事务辅助人员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20611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证券期货基金专业人员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39900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其他办事人员和有关人员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20612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知识产权专业人员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40000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社会生产服务和生活服务人员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20613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社会保险专业人员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批发与零售服务人员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20614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金融科技专业人员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购销服务人员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20699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其他经济和金融专业人员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销售人员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监察、法律、社会和宗教专业人员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贸易经纪代理人员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监察人员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再生物资回收人员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法官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特殊商品购销人员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检察官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电子商务服务人员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律师</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40199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其他批发与零售服务人员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公证员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交通运输、仓储物流和邮政业服务人员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司法鉴定人员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轨道交通运输服务人员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审判辅助人员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道路运输服务人员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法律顾问</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水上运输服务人员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20709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宗教教职人员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航空运输服务人员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20710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社会工作专业人员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装卸搬运和运输代理服务人员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20799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其他监察、法律、社会和宗教专业人员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仓储物流服务人员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20800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教学人员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40207</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邮政和快递服务人员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20801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高等学校教师</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40299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其他交通运输、仓储物流和邮政业服务人员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20802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中小学教师</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40300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住宿和餐饮服务人员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20803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幼儿园教师</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40301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住宿服务人员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20804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特殊教育教师</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40302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20899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其他教学人员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40399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其他住宿和餐饮服务人员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文学艺术、体育专业人员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信息传输、软件和信息技术服务人员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文艺创作与编导人员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信息通信业务人员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音乐指挥与演员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信息通信网络维护人员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电影电视制作专业人员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广播电视传输服务人员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舞台专业人员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信息通信网络运行管理人员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美术专业人员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工艺美术与创意设计专业人员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40499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其他信息传输、软件和信息技术服务人员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体育专业人员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金融服务人员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20999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其他文学艺术、体育专业人员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银行服务人员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新闻出版、文化专业人员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证券期货服务人员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记者</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保险服务人员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编辑</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典当服务人员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校</w:t>
            </w:r>
            <w:r>
              <w:rPr>
                <w:rFonts w:hint="eastAsia" w:ascii="宋体" w:hAnsi="宋体" w:cs="宋体"/>
                <w:color w:val="000000"/>
                <w:kern w:val="0"/>
                <w:sz w:val="18"/>
                <w:szCs w:val="18"/>
                <w:lang w:bidi="ar"/>
              </w:rPr>
              <w:t>对员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信托和资产管理服务人员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播音员及节目主持人</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40599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其他金融服务人员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翻译人员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40600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房地产服务人员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图书资料与微缩摄影专业人员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40601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物业管理服务人员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档案专业人员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40602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房地产开发与交易服务人员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考古及文物保护专业人员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40699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其他房地产服务人员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21099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其他新闻出版、文化专业人员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租赁和商务服务人员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29900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其他专业技术人员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租赁和拍卖业务人员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30000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办事人员和有关人员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商务咨询服务人员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30100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行政办事及辅助人员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人力资源服务人员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30101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行政业务办理人员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旅游及公共游览场所服务人员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30102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行政事务处理人员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安全保护服务人员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30103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行政执法人员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市场管理服务人员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30104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社区和村镇工作人员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40707</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会议及展览服务人员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0" w:type="auto"/>
            <w:tcBorders>
              <w:top w:val="nil"/>
              <w:bottom w:val="single" w:color="auto" w:sz="8" w:space="0"/>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30199</w:t>
            </w:r>
          </w:p>
        </w:tc>
        <w:tc>
          <w:tcPr>
            <w:tcW w:w="0" w:type="auto"/>
            <w:tcBorders>
              <w:top w:val="nil"/>
              <w:left w:val="single" w:color="auto" w:sz="2" w:space="0"/>
              <w:bottom w:val="single" w:color="auto" w:sz="8" w:space="0"/>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其他行政办事及辅助人员</w:t>
            </w:r>
          </w:p>
        </w:tc>
        <w:tc>
          <w:tcPr>
            <w:tcW w:w="0" w:type="auto"/>
            <w:tcBorders>
              <w:top w:val="nil"/>
              <w:left w:val="double" w:color="auto" w:sz="4" w:space="0"/>
              <w:bottom w:val="single" w:color="auto" w:sz="8" w:space="0"/>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40799</w:t>
            </w:r>
          </w:p>
        </w:tc>
        <w:tc>
          <w:tcPr>
            <w:tcW w:w="4046" w:type="dxa"/>
            <w:tcBorders>
              <w:top w:val="nil"/>
              <w:left w:val="single" w:color="auto" w:sz="2" w:space="0"/>
              <w:bottom w:val="single" w:color="auto" w:sz="8"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其他租赁和商务服务人员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single" w:color="auto" w:sz="8"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40800</w:t>
            </w:r>
          </w:p>
        </w:tc>
        <w:tc>
          <w:tcPr>
            <w:tcW w:w="0" w:type="auto"/>
            <w:tcBorders>
              <w:top w:val="single" w:color="auto" w:sz="8" w:space="0"/>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技术辅助服务人员</w:t>
            </w:r>
          </w:p>
        </w:tc>
        <w:tc>
          <w:tcPr>
            <w:tcW w:w="0" w:type="auto"/>
            <w:tcBorders>
              <w:top w:val="single" w:color="auto" w:sz="8" w:space="0"/>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41400</w:t>
            </w:r>
          </w:p>
        </w:tc>
        <w:tc>
          <w:tcPr>
            <w:tcW w:w="4046" w:type="dxa"/>
            <w:tcBorders>
              <w:top w:val="single" w:color="auto" w:sz="8" w:space="0"/>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健康、体育和休闲服务人员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气象服务人员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医疗辅助服务人员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海洋服务人员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健康咨询服务人员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测绘服务人员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康复矫正服务人员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地理信息服务人员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公共卫生辅助服务人员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检验、检测和计量服务人员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体育健身和娱乐场所服务人员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环境监测服务人员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康养、休闲服务人员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地质勘查人员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41499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其他健康、体育和休闲服务人员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专业化设计服务人员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49900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其他社会生产服务和生活服务人员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40809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摄影扩印服务人员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60000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生产制造及有关人员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40810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生产现场技术工艺人员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农副产品加工人员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40899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其他技术辅助服务人员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粮油加工人员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水利、环境和公共设施管理服务人员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饲料加工人员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水利设施管理养护人员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制糖人员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水文服务人员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畜禽制品加工人员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水土保持人员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农田灌排人员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果蔬和坚果加工人员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自然保护区和草地监护人员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60107</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淀粉和豆制品加工人员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野生动植物保护人员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60199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其他农副产品加工人员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环境治理服务人员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食品、饮料生产加工人员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环境卫生服务人员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焙烤食品制造人员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40909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有害生物防制人员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糖制品加工人员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40910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绿化与园艺服务人员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方便食品和罐头食品加工人员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40999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其他水利、环境和公共设施管理服务人员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乳制品加工人员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居民服务人员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调味品及食品添加剂制作人员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生活照料服务人员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酒、饮料及精制茶制造人员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服装裁剪和洗染织补人员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60299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其他食品、饮料生产加工人员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美容美发和浴池服务人员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60300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烟草及其制品加工人员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保健服务人员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60301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烟叶初加工人员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婚姻服务人员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60302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烟用材料生产人员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殡葬服务人员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60303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烟草制品生产人员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pacing w:val="-4"/>
                <w:sz w:val="18"/>
                <w:szCs w:val="18"/>
              </w:rPr>
            </w:pPr>
            <w:r>
              <w:rPr>
                <w:rFonts w:ascii="宋体" w:hAnsi="宋体" w:cs="宋体"/>
                <w:color w:val="000000"/>
                <w:kern w:val="0"/>
                <w:sz w:val="18"/>
                <w:szCs w:val="18"/>
                <w:lang w:bidi="ar"/>
              </w:rPr>
              <w:t xml:space="preserve">        宠物服务人员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60399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其他烟草及其制品加工人员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社区生活服务人员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纺织、针织、印染人员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41099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其他居民服务人员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纤维预处理人员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41100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电力、燃气及水供应服务人员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纺纱人员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41101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电力供应服务人员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织造人员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41102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燃气供应服务人员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针织人员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41103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水供应服务人员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60405</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非织造布制造人员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41199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其他电力、燃气及水供应服务人员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60406</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修理及制作服务人员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60499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其他纺织、针织、印染人员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汽车摩托车修理技术服务人员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60500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纺织品、服装和皮革、毛皮制品加工制作人员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计算机和办公设备维修人员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60501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纺织品和服装剪裁缝纫人员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家用电子电器产品维修人员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60502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皮革、毛皮及其制品加工人员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日用产品修理服务人员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60503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羽绒羽毛加工及制品制造人员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乐器维修人员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60504</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鞋帽制作人员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0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印章制作人员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60599</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其他纺织品、服装和皮革、毛皮制品加工制作人员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41299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其他修理及制作服务人员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60600</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木材加工、家具与木制品制作人员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41300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文化和教育服务人员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60601</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木材加工人员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41301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社会文化活动服务人员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60602</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人造板制造人员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41302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广播、电视、电影和影视录音制作人员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60603</w:t>
            </w:r>
          </w:p>
        </w:tc>
        <w:tc>
          <w:tcPr>
            <w:tcW w:w="4046" w:type="dxa"/>
            <w:tcBorders>
              <w:top w:val="nil"/>
              <w:left w:val="single" w:color="auto" w:sz="2"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木制品制造人员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41303</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考古及文物保护作业人员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60604</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家具制造人员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nil"/>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41304</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教育服务人员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60699</w:t>
            </w:r>
          </w:p>
        </w:tc>
        <w:tc>
          <w:tcPr>
            <w:tcW w:w="4046" w:type="dxa"/>
            <w:tcBorders>
              <w:top w:val="nil"/>
              <w:left w:val="single" w:color="auto" w:sz="4"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其他木材加工、家具与木制品制作人员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1" w:hRule="exact"/>
        </w:trPr>
        <w:tc>
          <w:tcPr>
            <w:tcW w:w="0" w:type="auto"/>
            <w:tcBorders>
              <w:top w:val="nil"/>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41399</w:t>
            </w:r>
          </w:p>
        </w:tc>
        <w:tc>
          <w:tcPr>
            <w:tcW w:w="0" w:type="auto"/>
            <w:tcBorders>
              <w:top w:val="nil"/>
              <w:left w:val="single" w:color="auto" w:sz="4" w:space="0"/>
              <w:bottom w:val="single" w:color="auto" w:sz="4" w:space="0"/>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其他文化和教育服务人员</w:t>
            </w:r>
          </w:p>
        </w:tc>
        <w:tc>
          <w:tcPr>
            <w:tcW w:w="0" w:type="auto"/>
            <w:tcBorders>
              <w:top w:val="nil"/>
              <w:left w:val="double" w:color="auto" w:sz="4" w:space="0"/>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60700</w:t>
            </w:r>
          </w:p>
        </w:tc>
        <w:tc>
          <w:tcPr>
            <w:tcW w:w="4046" w:type="dxa"/>
            <w:tcBorders>
              <w:top w:val="nil"/>
              <w:left w:val="single" w:color="auto" w:sz="4" w:space="0"/>
              <w:bottom w:val="single" w:color="auto" w:sz="4" w:space="0"/>
            </w:tcBorders>
            <w:vAlign w:val="center"/>
          </w:tcPr>
          <w:p>
            <w:pPr>
              <w:widowControl/>
              <w:jc w:val="left"/>
              <w:textAlignment w:val="center"/>
              <w:rPr>
                <w:rFonts w:ascii="宋体" w:hAnsi="宋体" w:cs="宋体"/>
                <w:spacing w:val="-6"/>
                <w:sz w:val="18"/>
                <w:szCs w:val="18"/>
              </w:rPr>
            </w:pPr>
            <w:r>
              <w:rPr>
                <w:rFonts w:ascii="宋体" w:hAnsi="宋体" w:cs="宋体"/>
                <w:color w:val="000000"/>
                <w:kern w:val="0"/>
                <w:sz w:val="18"/>
                <w:szCs w:val="18"/>
                <w:lang w:bidi="ar"/>
              </w:rPr>
              <w:t xml:space="preserve">    纸及纸制品生产加工人员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single" w:color="auto" w:sz="4" w:space="0"/>
              <w:bottom w:val="nil"/>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60701</w:t>
            </w:r>
          </w:p>
        </w:tc>
        <w:tc>
          <w:tcPr>
            <w:tcW w:w="0" w:type="auto"/>
            <w:tcBorders>
              <w:top w:val="single" w:color="auto" w:sz="4" w:space="0"/>
              <w:left w:val="single" w:color="auto" w:sz="4"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制浆造纸人员</w:t>
            </w:r>
          </w:p>
        </w:tc>
        <w:tc>
          <w:tcPr>
            <w:tcW w:w="0" w:type="auto"/>
            <w:tcBorders>
              <w:top w:val="single" w:color="auto" w:sz="4" w:space="0"/>
              <w:left w:val="double" w:color="auto" w:sz="4" w:space="0"/>
              <w:bottom w:val="nil"/>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61502</w:t>
            </w:r>
          </w:p>
        </w:tc>
        <w:tc>
          <w:tcPr>
            <w:tcW w:w="4046" w:type="dxa"/>
            <w:tcBorders>
              <w:top w:val="single" w:color="auto" w:sz="4" w:space="0"/>
              <w:left w:val="single" w:color="auto" w:sz="4"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砖瓦石材等建筑材料制造人员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60702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纸制品制作人员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61503</w:t>
            </w:r>
          </w:p>
        </w:tc>
        <w:tc>
          <w:tcPr>
            <w:tcW w:w="4046" w:type="dxa"/>
            <w:tcBorders>
              <w:top w:val="nil"/>
              <w:left w:val="single" w:color="auto" w:sz="4" w:space="0"/>
              <w:bottom w:val="nil"/>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        玻璃及玻璃制品生产加工人员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60799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其他纸及纸制品生产加工人员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61504</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玻璃纤维及玻璃纤维增强塑料制品制造人员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60800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印刷和记录媒介复制人员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61505</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陶瓷制品制造人员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60801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印刷人员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61506</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耐火材料制品生产人员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60802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记录媒介复制人员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61507</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石墨及炭素制品生产人员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60899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其他印刷和记录媒介复制人员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61508</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高岭土、珍珠岩等非金属矿物加工人员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文教、工美、体育和娱乐用品制造人员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61599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其他非金属矿物制品制造人员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文教用品制作人员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61600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采矿人员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乐器制作人员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61601</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矿物采选人员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60903</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工艺美术品制造人员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61602</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石油和天然气开采与储运人员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60904</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体育用品制作人员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61603</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采盐人员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60905</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玩具制作人员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61699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其他采矿人员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7"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60999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其他文教、工美、体育和娱乐用品制造人员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金属冶炼和压延加工人员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61000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石油加工和炼焦、煤化工生产人员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61701</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炼铁人员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61001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石油炼制生产人员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61702</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炼钢人员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61002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炼焦人员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61703</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铸铁管人员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61003</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煤化工生产人员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61704</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铁合金冶炼人员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61099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其他石油加工和炼焦、煤化工生产人员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61705</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重有色金属冶炼人员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化学原料和化学制品制造人员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61706</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轻有色金属冶炼人员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化工产品生产通用工艺人员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61707</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稀贵金属冶炼人员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基础化学原料制造人员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61708</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半导体材料制备人员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61103</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
              <w:t xml:space="preserve">        化学肥料生产人员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61709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金属轧制人员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61104</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农药生产人员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61710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硬质合金生产人员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7"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61105</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涂料、油墨、颜料及类似产品制造人员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61799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其他金属冶炼和压延加工人员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7"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61106</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合成树脂生产人员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61800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机械制造基础加工人员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61107</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合成橡胶生产人员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61801</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机械冷加工人员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61108</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专用化学产品生产人员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61802</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机械热加工人员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61109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火工品制造、保管、爆破及焰火产品制造人员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61803</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机械表面处理加工人员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61110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日用化学品生产人员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61804</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工装工具制造加工人员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61199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其他化学原料和化学制品制造人员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61899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其他机械制造基础加工人员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医药制造人员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61900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金属制品制造人员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化学药品原料药制造人员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61901</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五金制品制作装配人员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中药饮片加工人员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61999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其他金属制品制造人员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61203</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药物制剂人员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通用设备制造人员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61204</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兽用药品制造人员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62001</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通用基础件装配制造人员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61205</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生物药品制造人员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62002</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锅炉及原动设备制造人员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61299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其他医药制造人员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62003</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金属加工机械制造人员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61300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化学纤维制造人员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62004</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物料搬运设备制造人员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61301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化学纤维原料制造人员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62005</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泵、阀门、压缩机及类似机械制造人员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61302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化学纤维纺丝及后处理人员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62006</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烘炉、衡器、水处理等设备制造人员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61399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其他化学纤维制造人员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62007</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文化办公机械制造人员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61400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橡胶和塑料制品制造人员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62099</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其他通用设备制造人员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61401</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橡胶制品生产人员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62100</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61402</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塑料制品加工人员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62101</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采矿、建筑专用设备制造人员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61499</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其他橡胶和塑料制品制造人员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62102</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印刷生产专用设备制造人员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2" w:hRule="exact"/>
        </w:trPr>
        <w:tc>
          <w:tcPr>
            <w:tcW w:w="0" w:type="auto"/>
            <w:tcBorders>
              <w:top w:val="nil"/>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61500</w:t>
            </w:r>
          </w:p>
        </w:tc>
        <w:tc>
          <w:tcPr>
            <w:tcW w:w="0" w:type="auto"/>
            <w:tcBorders>
              <w:top w:val="nil"/>
              <w:left w:val="single" w:color="auto" w:sz="4"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非金属矿物制品制造人员</w:t>
            </w:r>
          </w:p>
        </w:tc>
        <w:tc>
          <w:tcPr>
            <w:tcW w:w="0" w:type="auto"/>
            <w:tcBorders>
              <w:top w:val="nil"/>
              <w:left w:val="double" w:color="auto" w:sz="4" w:space="0"/>
              <w:bottom w:val="nil"/>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62103</w:t>
            </w:r>
          </w:p>
        </w:tc>
        <w:tc>
          <w:tcPr>
            <w:tcW w:w="4046" w:type="dxa"/>
            <w:tcBorders>
              <w:top w:val="nil"/>
              <w:left w:val="single" w:color="auto" w:sz="4"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纺织服装和皮革加工专用设备制造人员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7" w:hRule="exact"/>
        </w:trPr>
        <w:tc>
          <w:tcPr>
            <w:tcW w:w="0" w:type="auto"/>
            <w:tcBorders>
              <w:top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61501</w:t>
            </w:r>
          </w:p>
        </w:tc>
        <w:tc>
          <w:tcPr>
            <w:tcW w:w="0" w:type="auto"/>
            <w:tcBorders>
              <w:top w:val="nil"/>
              <w:left w:val="single" w:color="auto" w:sz="4" w:space="0"/>
              <w:bottom w:val="single" w:color="auto" w:sz="4" w:space="0"/>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水泥、石灰、石膏及其制品制造人员</w:t>
            </w:r>
          </w:p>
        </w:tc>
        <w:tc>
          <w:tcPr>
            <w:tcW w:w="0" w:type="auto"/>
            <w:tcBorders>
              <w:top w:val="nil"/>
              <w:left w:val="doub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62104</w:t>
            </w:r>
          </w:p>
        </w:tc>
        <w:tc>
          <w:tcPr>
            <w:tcW w:w="4046" w:type="dxa"/>
            <w:tcBorders>
              <w:top w:val="nil"/>
              <w:left w:val="single" w:color="auto" w:sz="4" w:space="0"/>
              <w:bottom w:val="sing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电子专用设备装配调试人员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sing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62105</w:t>
            </w:r>
          </w:p>
        </w:tc>
        <w:tc>
          <w:tcPr>
            <w:tcW w:w="0" w:type="auto"/>
            <w:tcBorders>
              <w:top w:val="single" w:color="auto" w:sz="4" w:space="0"/>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农业机械制造人员</w:t>
            </w:r>
          </w:p>
        </w:tc>
        <w:tc>
          <w:tcPr>
            <w:tcW w:w="0" w:type="auto"/>
            <w:tcBorders>
              <w:top w:val="single" w:color="auto" w:sz="4" w:space="0"/>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62700</w:t>
            </w:r>
          </w:p>
        </w:tc>
        <w:tc>
          <w:tcPr>
            <w:tcW w:w="4046" w:type="dxa"/>
            <w:tcBorders>
              <w:top w:val="single" w:color="auto" w:sz="4" w:space="0"/>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再生资源综合利用人员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医疗器械制品和康复辅具生产人员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62701</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废料和碎屑加工处理人员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62199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其他专用设备制造人员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62799</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其他再生资源综合利用人员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62200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汽车制造人员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62800</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电力、热力、气体、水生产和输配人员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62201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汽车零部件、饰件生产加工人员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62801</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电力、热力生产和供应人员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62202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汽车整车制造人员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62802</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气体生产、处理和输送人员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62299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其他汽车制造人员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62803</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水生产、输排和水处理人员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62300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铁路、船舶、航空设备制造人员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62899</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其他电力、热力、气体、水生产和输配人员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62301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轨道交通运输设备制造人员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62900</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62302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船舶制造人员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62901</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房屋建筑施工人员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62303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航空产品装配、调试人员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62902</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土木工程建筑施工人员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62304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摩托车、自行车制造人员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62903</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建筑安装施工人员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62399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其他铁路、船舶、航空设备制造人员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62904</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建筑装饰人员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电气机械和器材制造人员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62905</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古建筑修建人员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电机制造人员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62999</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其他建筑施工人员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输配电及控制设备制造人员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63000</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运输设备和通用工程机械操作人员及有关人员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
              <w:t xml:space="preserve">        电线电缆、光纤光缆及电工器材制造人员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63001</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专用车辆操作人员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电池制造人员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63002</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轨道交通运输机械设备操作人员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62405</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家用电力器具制造人员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63003</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民用航空设备操作及有关人员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62406</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非电力家用器具制造人员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63004</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水上运输设备操作及有关人员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62407</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照明器具制造人员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63005</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通用工程机械操作人员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62408</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电气信号设备装置制造人员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63099</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其他运输设备和通用工程机械操作人员及有关人员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62499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其他电气机械和器材制造人员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63100</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生产辅助人员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62500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计算机、通信和其他电子设备制造人员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63101</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机械设备修理人员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62501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电子元件制造人员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63102</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船舶、航空器修理人员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62502</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电子器件制造人员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63103</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检验试验人员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62503</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计算机制造人员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63104</w:t>
            </w:r>
          </w:p>
        </w:tc>
        <w:tc>
          <w:tcPr>
            <w:tcW w:w="4046" w:type="dxa"/>
            <w:tcBorders>
              <w:top w:val="nil"/>
              <w:left w:val="single" w:color="auto" w:sz="2" w:space="0"/>
              <w:bottom w:val="nil"/>
            </w:tcBorders>
            <w:vAlign w:val="center"/>
          </w:tcPr>
          <w:p>
            <w:pPr>
              <w:widowControl/>
              <w:jc w:val="left"/>
              <w:textAlignment w:val="center"/>
              <w:rPr>
                <w:rFonts w:ascii="宋体" w:hAnsi="宋体" w:cs="宋体"/>
                <w:kern w:val="0"/>
                <w:sz w:val="18"/>
                <w:szCs w:val="18"/>
              </w:rPr>
            </w:pPr>
            <w:r>
              <w:rPr>
                <w:rFonts w:ascii="宋体" w:hAnsi="宋体" w:cs="宋体"/>
                <w:color w:val="000000"/>
                <w:kern w:val="0"/>
                <w:sz w:val="18"/>
                <w:szCs w:val="18"/>
                <w:lang w:bidi="ar"/>
              </w:rPr>
              <w:t xml:space="preserve">        称重计量人员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62504</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电子设备装配调试人员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63105</w:t>
            </w:r>
          </w:p>
        </w:tc>
        <w:tc>
          <w:tcPr>
            <w:tcW w:w="4046" w:type="dxa"/>
            <w:tcBorders>
              <w:top w:val="nil"/>
              <w:left w:val="single" w:color="auto" w:sz="2" w:space="0"/>
              <w:bottom w:val="nil"/>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包装人员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5" w:hRule="exact"/>
        </w:trPr>
        <w:tc>
          <w:tcPr>
            <w:tcW w:w="0" w:type="auto"/>
            <w:tcBorders>
              <w:top w:val="nil"/>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62599</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其他计算机、通信和其他电子设备制造人员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63106</w:t>
            </w:r>
          </w:p>
        </w:tc>
        <w:tc>
          <w:tcPr>
            <w:tcW w:w="4046" w:type="dxa"/>
            <w:tcBorders>
              <w:top w:val="nil"/>
              <w:left w:val="single" w:color="auto" w:sz="2" w:space="0"/>
              <w:bottom w:val="nil"/>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安全生产管理人员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62600</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仪器仪表制造人员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63107</w:t>
            </w:r>
          </w:p>
        </w:tc>
        <w:tc>
          <w:tcPr>
            <w:tcW w:w="4046" w:type="dxa"/>
            <w:tcBorders>
              <w:top w:val="nil"/>
              <w:left w:val="single" w:color="auto" w:sz="2" w:space="0"/>
              <w:bottom w:val="nil"/>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工业机器人操作运维人员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62601</w:t>
            </w:r>
          </w:p>
        </w:tc>
        <w:tc>
          <w:tcPr>
            <w:tcW w:w="0" w:type="auto"/>
            <w:tcBorders>
              <w:top w:val="nil"/>
              <w:left w:val="single" w:color="auto" w:sz="2" w:space="0"/>
              <w:bottom w:val="nil"/>
              <w:right w:val="double" w:color="auto"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仪器仪表装配人员</w:t>
            </w:r>
          </w:p>
        </w:tc>
        <w:tc>
          <w:tcPr>
            <w:tcW w:w="0" w:type="auto"/>
            <w:tcBorders>
              <w:top w:val="nil"/>
              <w:left w:val="double" w:color="auto" w:sz="4" w:space="0"/>
              <w:bottom w:val="nil"/>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63199</w:t>
            </w:r>
          </w:p>
        </w:tc>
        <w:tc>
          <w:tcPr>
            <w:tcW w:w="4046" w:type="dxa"/>
            <w:tcBorders>
              <w:top w:val="nil"/>
              <w:left w:val="single" w:color="auto" w:sz="2" w:space="0"/>
              <w:bottom w:val="nil"/>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其他生产辅助人员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exact"/>
        </w:trPr>
        <w:tc>
          <w:tcPr>
            <w:tcW w:w="0" w:type="auto"/>
            <w:tcBorders>
              <w:top w:val="nil"/>
              <w:bottom w:val="single" w:color="auto" w:sz="4" w:space="0"/>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62699</w:t>
            </w:r>
          </w:p>
        </w:tc>
        <w:tc>
          <w:tcPr>
            <w:tcW w:w="0" w:type="auto"/>
            <w:tcBorders>
              <w:top w:val="nil"/>
              <w:left w:val="single" w:color="auto" w:sz="2" w:space="0"/>
              <w:bottom w:val="single" w:color="auto" w:sz="4" w:space="0"/>
              <w:right w:val="double" w:color="auto"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其他仪器仪表制造人员</w:t>
            </w:r>
          </w:p>
        </w:tc>
        <w:tc>
          <w:tcPr>
            <w:tcW w:w="0" w:type="auto"/>
            <w:tcBorders>
              <w:top w:val="nil"/>
              <w:left w:val="double" w:color="auto" w:sz="4" w:space="0"/>
              <w:bottom w:val="single" w:color="auto" w:sz="4" w:space="0"/>
              <w:right w:val="single" w:color="auto" w:sz="2"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69900</w:t>
            </w:r>
          </w:p>
        </w:tc>
        <w:tc>
          <w:tcPr>
            <w:tcW w:w="4046" w:type="dxa"/>
            <w:tcBorders>
              <w:top w:val="nil"/>
              <w:left w:val="single" w:color="auto" w:sz="2" w:space="0"/>
              <w:bottom w:val="single" w:color="auto"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    其他生产制造及有关人员</w:t>
            </w:r>
          </w:p>
        </w:tc>
      </w:tr>
    </w:tbl>
    <w:p>
      <w:pPr>
        <w:snapToGrid w:val="0"/>
        <w:spacing w:before="480" w:beforeLines="200" w:after="240" w:afterLines="100"/>
        <w:jc w:val="center"/>
        <w:outlineLvl w:val="1"/>
        <w:rPr>
          <w:rFonts w:ascii="黑体" w:hAnsi="黑体" w:eastAsia="黑体"/>
          <w:kern w:val="0"/>
        </w:rPr>
      </w:pPr>
      <w:r>
        <w:rPr>
          <w:rFonts w:ascii="黑体" w:eastAsia="黑体"/>
          <w:color w:val="FF0000"/>
        </w:rPr>
        <w:br w:type="page"/>
      </w:r>
      <w:bookmarkStart w:id="118" w:name="_Toc1389858549"/>
      <w:bookmarkStart w:id="119" w:name="_Toc79057819"/>
      <w:bookmarkStart w:id="120" w:name="_Toc1095041639"/>
      <w:bookmarkStart w:id="121" w:name="_Toc1928560631"/>
      <w:bookmarkStart w:id="122" w:name="_Toc149490522"/>
      <w:bookmarkStart w:id="123" w:name="_Toc826416537"/>
      <w:bookmarkStart w:id="124" w:name="_Toc805515207"/>
      <w:bookmarkStart w:id="125" w:name="_Toc562123219"/>
      <w:r>
        <w:rPr>
          <w:rFonts w:hint="eastAsia" w:ascii="黑体" w:hAnsi="黑体" w:eastAsia="黑体"/>
          <w:kern w:val="0"/>
          <w:sz w:val="32"/>
          <w:szCs w:val="28"/>
        </w:rPr>
        <w:t>（二</w:t>
      </w:r>
      <w:r>
        <w:rPr>
          <w:rFonts w:ascii="黑体" w:hAnsi="黑体" w:eastAsia="黑体"/>
          <w:kern w:val="0"/>
          <w:sz w:val="32"/>
          <w:szCs w:val="28"/>
        </w:rPr>
        <w:t>）指 标 解 释</w:t>
      </w:r>
      <w:bookmarkEnd w:id="118"/>
      <w:bookmarkEnd w:id="119"/>
      <w:bookmarkEnd w:id="120"/>
      <w:bookmarkEnd w:id="121"/>
      <w:bookmarkEnd w:id="122"/>
      <w:bookmarkEnd w:id="123"/>
      <w:bookmarkEnd w:id="124"/>
      <w:bookmarkEnd w:id="125"/>
    </w:p>
    <w:p>
      <w:pPr>
        <w:spacing w:line="360" w:lineRule="exact"/>
        <w:ind w:firstLine="420" w:firstLineChars="200"/>
        <w:rPr>
          <w:rFonts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420" w:firstLineChars="20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2" w:firstLineChars="200"/>
        <w:rPr>
          <w:rFonts w:ascii="宋体" w:hAnsi="宋体"/>
          <w:b/>
          <w:bCs/>
          <w:color w:val="000000"/>
          <w:szCs w:val="21"/>
        </w:rPr>
      </w:pPr>
      <w:r>
        <w:rPr>
          <w:rFonts w:hint="eastAsia" w:ascii="宋体" w:hAnsi="宋体"/>
          <w:b/>
          <w:bCs/>
          <w:color w:val="000000"/>
          <w:szCs w:val="21"/>
        </w:rPr>
        <w:t>注意：</w:t>
      </w:r>
    </w:p>
    <w:p>
      <w:pPr>
        <w:spacing w:line="360" w:lineRule="exact"/>
        <w:ind w:firstLine="420" w:firstLineChars="200"/>
        <w:rPr>
          <w:rFonts w:ascii="宋体" w:hAnsi="宋体"/>
          <w:color w:val="000000"/>
          <w:szCs w:val="21"/>
        </w:rPr>
      </w:pPr>
      <w:r>
        <w:rPr>
          <w:rFonts w:hint="eastAsia" w:ascii="宋体" w:hAnsi="宋体"/>
          <w:color w:val="000000"/>
          <w:szCs w:val="21"/>
        </w:rPr>
        <w:t>1.劳务派遣人员由实际用工单位统计为劳务派遣人员，劳务派遣单位（派出单位）不进行统计。</w:t>
      </w:r>
    </w:p>
    <w:p>
      <w:pPr>
        <w:spacing w:line="360" w:lineRule="exact"/>
        <w:ind w:firstLine="420" w:firstLineChars="200"/>
        <w:rPr>
          <w:rFonts w:ascii="宋体" w:hAnsi="宋体"/>
          <w:color w:val="000000"/>
          <w:szCs w:val="21"/>
        </w:rPr>
      </w:pPr>
      <w:r>
        <w:rPr>
          <w:rFonts w:hint="eastAsia" w:ascii="宋体" w:hAnsi="宋体"/>
          <w:color w:val="000000"/>
          <w:szCs w:val="21"/>
        </w:rPr>
        <w:t>2.劳务外包人员由承包劳务的法人单位统计为在岗职工，实际用工单位不进行统计。如承包劳务的是个体经营户或自然人，均不包括在本制度统计范围内。</w:t>
      </w:r>
    </w:p>
    <w:p>
      <w:pPr>
        <w:spacing w:line="360" w:lineRule="exact"/>
        <w:ind w:firstLine="420" w:firstLineChars="200"/>
        <w:rPr>
          <w:rFonts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中层及以上管理人员</w:t>
      </w:r>
      <w:r>
        <w:rPr>
          <w:rFonts w:hint="eastAsia" w:ascii="宋体" w:hAnsi="宋体"/>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国家机关负责人、民主党派和工商联负责人、人民</w:t>
      </w:r>
      <w:r>
        <w:rPr>
          <w:rFonts w:ascii="宋体" w:hAnsi="宋体"/>
          <w:color w:val="000000"/>
          <w:szCs w:val="21"/>
        </w:rPr>
        <w:t>团体</w:t>
      </w:r>
      <w:r>
        <w:rPr>
          <w:rFonts w:hint="eastAsia" w:ascii="宋体" w:hAnsi="宋体"/>
          <w:color w:val="000000"/>
          <w:szCs w:val="21"/>
        </w:rPr>
        <w:t>和</w:t>
      </w:r>
      <w:r>
        <w:rPr>
          <w:rFonts w:ascii="宋体" w:hAnsi="宋体"/>
          <w:color w:val="000000"/>
          <w:szCs w:val="21"/>
        </w:rPr>
        <w:t>群众团体、社会组织及其他成员组织负责人、</w:t>
      </w:r>
      <w:r>
        <w:rPr>
          <w:rFonts w:hint="eastAsia" w:ascii="宋体" w:hAnsi="宋体"/>
          <w:color w:val="000000"/>
          <w:szCs w:val="21"/>
        </w:rPr>
        <w:t>基层群众</w:t>
      </w:r>
      <w:r>
        <w:rPr>
          <w:rFonts w:ascii="宋体" w:hAnsi="宋体"/>
          <w:color w:val="000000"/>
          <w:szCs w:val="21"/>
        </w:rPr>
        <w:t>自治组织</w:t>
      </w:r>
      <w:r>
        <w:rPr>
          <w:rFonts w:hint="eastAsia" w:ascii="宋体" w:hAnsi="宋体"/>
          <w:color w:val="000000"/>
          <w:szCs w:val="21"/>
        </w:rPr>
        <w:t>负责人、企事业单位负责人。</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专业技术人员</w:t>
      </w:r>
      <w:r>
        <w:rPr>
          <w:rFonts w:hint="eastAsia" w:ascii="宋体" w:hAnsi="宋体"/>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hint="eastAsia" w:ascii="宋体" w:hAnsi="宋体"/>
          <w:color w:val="000000"/>
          <w:szCs w:val="21"/>
        </w:rPr>
        <w:t>人员、监察、法律、</w:t>
      </w:r>
      <w:r>
        <w:rPr>
          <w:rFonts w:ascii="宋体" w:hAnsi="宋体"/>
          <w:color w:val="000000"/>
          <w:szCs w:val="21"/>
        </w:rPr>
        <w:t>社会和宗教</w:t>
      </w:r>
      <w:r>
        <w:rPr>
          <w:rFonts w:hint="eastAsia" w:ascii="宋体" w:hAnsi="宋体"/>
          <w:color w:val="000000"/>
          <w:szCs w:val="21"/>
        </w:rPr>
        <w:t>专业人员、教学人员、文学艺术、</w:t>
      </w:r>
      <w:r>
        <w:rPr>
          <w:rFonts w:ascii="宋体" w:hAnsi="宋体"/>
          <w:color w:val="000000"/>
          <w:szCs w:val="21"/>
        </w:rPr>
        <w:t>体育</w:t>
      </w:r>
      <w:r>
        <w:rPr>
          <w:rFonts w:hint="eastAsia" w:ascii="宋体" w:hAnsi="宋体"/>
          <w:color w:val="000000"/>
          <w:szCs w:val="21"/>
        </w:rPr>
        <w:t>专业人员、新闻出版、文化专业人员、其他专业技术人员。</w:t>
      </w:r>
    </w:p>
    <w:p>
      <w:pPr>
        <w:spacing w:line="360" w:lineRule="exact"/>
        <w:ind w:firstLine="420" w:firstLineChars="200"/>
        <w:rPr>
          <w:rFonts w:ascii="宋体" w:hAnsi="宋体"/>
          <w:color w:val="000000"/>
          <w:spacing w:val="2"/>
          <w:szCs w:val="21"/>
        </w:rPr>
      </w:pPr>
      <w:r>
        <w:rPr>
          <w:rFonts w:hint="eastAsia" w:ascii="黑体" w:hAnsi="宋体" w:eastAsia="黑体"/>
          <w:color w:val="000000"/>
          <w:szCs w:val="21"/>
        </w:rPr>
        <w:t>办事人员和有关人员</w:t>
      </w:r>
      <w:r>
        <w:rPr>
          <w:rFonts w:hint="eastAsia" w:ascii="宋体" w:hAnsi="宋体"/>
          <w:color w:val="000000"/>
          <w:szCs w:val="21"/>
        </w:rPr>
        <w:t xml:space="preserve">  </w:t>
      </w:r>
      <w:r>
        <w:rPr>
          <w:rFonts w:hint="eastAsia" w:ascii="宋体" w:hAnsi="宋体"/>
          <w:color w:val="000000"/>
          <w:spacing w:val="2"/>
          <w:szCs w:val="21"/>
        </w:rPr>
        <w:t>指在国家机关、党群组织、企业、事业单位中从事行政业务、行政事务、行政执法和仲裁、安全保卫、消防和应急救援等工作的人员。具体包括办事人员、安全和消防人员、其他办事人员和有关人员。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社会生产服务和生活服务人员</w:t>
      </w:r>
      <w:r>
        <w:rPr>
          <w:rFonts w:hint="eastAsia" w:ascii="宋体" w:hAnsi="宋体"/>
          <w:color w:val="000000"/>
          <w:szCs w:val="21"/>
        </w:rPr>
        <w:t xml:space="preserve">  指从事商品批发零售、交通运输、仓储、邮政和快递、住宿和餐饮、信息传输、软件和信息技术以及金融、房地产、租赁和商务、技术辅助、生态保护、文化、体育和娱乐等社会生产服务与生活服务工作的人员。具体包括批发与零售</w:t>
      </w:r>
      <w:r>
        <w:rPr>
          <w:rFonts w:ascii="宋体" w:hAnsi="宋体"/>
          <w:color w:val="000000"/>
          <w:szCs w:val="21"/>
        </w:rPr>
        <w:t>服务人员、</w:t>
      </w:r>
      <w:r>
        <w:rPr>
          <w:rFonts w:hint="eastAsia" w:ascii="宋体" w:hAnsi="宋体"/>
          <w:color w:val="000000"/>
          <w:szCs w:val="21"/>
        </w:rPr>
        <w:t>交通运输</w:t>
      </w:r>
      <w:r>
        <w:rPr>
          <w:rFonts w:ascii="宋体" w:hAnsi="宋体"/>
          <w:color w:val="000000"/>
          <w:szCs w:val="21"/>
        </w:rPr>
        <w:t>、仓储和邮政业服务人员、</w:t>
      </w:r>
      <w:r>
        <w:rPr>
          <w:rFonts w:hint="eastAsia" w:ascii="宋体" w:hAnsi="宋体"/>
          <w:color w:val="000000"/>
          <w:szCs w:val="21"/>
        </w:rPr>
        <w:t>住宿和餐饮服务人员、信息传输</w:t>
      </w:r>
      <w:r>
        <w:rPr>
          <w:rFonts w:ascii="宋体" w:hAnsi="宋体"/>
          <w:color w:val="000000"/>
          <w:szCs w:val="21"/>
        </w:rPr>
        <w:t>、软件和信息技术服务人员、金融服务人员、房地产服务人员</w:t>
      </w:r>
      <w:r>
        <w:rPr>
          <w:rFonts w:hint="eastAsia" w:ascii="宋体" w:hAnsi="宋体"/>
          <w:color w:val="000000"/>
          <w:szCs w:val="21"/>
        </w:rPr>
        <w:t>、</w:t>
      </w:r>
      <w:r>
        <w:rPr>
          <w:rFonts w:ascii="宋体" w:hAnsi="宋体"/>
          <w:color w:val="000000"/>
          <w:szCs w:val="21"/>
        </w:rPr>
        <w:t>租赁和商务服务人员</w:t>
      </w:r>
      <w:r>
        <w:rPr>
          <w:rFonts w:hint="eastAsia" w:ascii="宋体" w:hAnsi="宋体"/>
          <w:color w:val="000000"/>
          <w:szCs w:val="21"/>
        </w:rPr>
        <w:t>、技术</w:t>
      </w:r>
      <w:r>
        <w:rPr>
          <w:rFonts w:ascii="宋体" w:hAnsi="宋体"/>
          <w:color w:val="000000"/>
          <w:szCs w:val="21"/>
        </w:rPr>
        <w:t>辅助服务人员</w:t>
      </w:r>
      <w:r>
        <w:rPr>
          <w:rFonts w:hint="eastAsia" w:ascii="宋体" w:hAnsi="宋体"/>
          <w:color w:val="000000"/>
          <w:szCs w:val="21"/>
        </w:rPr>
        <w:t>、</w:t>
      </w:r>
      <w:r>
        <w:rPr>
          <w:rFonts w:ascii="宋体" w:hAnsi="宋体"/>
          <w:color w:val="000000"/>
          <w:szCs w:val="21"/>
        </w:rPr>
        <w:t>水利、环境和公共设施</w:t>
      </w:r>
      <w:r>
        <w:rPr>
          <w:rFonts w:hint="eastAsia" w:ascii="宋体" w:hAnsi="宋体"/>
          <w:color w:val="000000"/>
          <w:szCs w:val="21"/>
        </w:rPr>
        <w:t>管理</w:t>
      </w:r>
      <w:r>
        <w:rPr>
          <w:rFonts w:ascii="宋体" w:hAnsi="宋体"/>
          <w:color w:val="000000"/>
          <w:szCs w:val="21"/>
        </w:rPr>
        <w:t>服务人员</w:t>
      </w:r>
      <w:r>
        <w:rPr>
          <w:rFonts w:hint="eastAsia" w:ascii="宋体" w:hAnsi="宋体"/>
          <w:color w:val="000000"/>
          <w:szCs w:val="21"/>
        </w:rPr>
        <w:t>、居民服务人员、电力</w:t>
      </w:r>
      <w:r>
        <w:rPr>
          <w:rFonts w:ascii="宋体" w:hAnsi="宋体"/>
          <w:color w:val="000000"/>
          <w:szCs w:val="21"/>
        </w:rPr>
        <w:t>、燃气及水供应服务人员</w:t>
      </w:r>
      <w:r>
        <w:rPr>
          <w:rFonts w:hint="eastAsia" w:ascii="宋体" w:hAnsi="宋体"/>
          <w:color w:val="000000"/>
          <w:szCs w:val="21"/>
        </w:rPr>
        <w:t>、</w:t>
      </w:r>
      <w:r>
        <w:rPr>
          <w:rFonts w:ascii="宋体" w:hAnsi="宋体"/>
          <w:color w:val="000000"/>
          <w:szCs w:val="21"/>
        </w:rPr>
        <w:t>修理及制作服务人员</w:t>
      </w:r>
      <w:r>
        <w:rPr>
          <w:rFonts w:hint="eastAsia" w:ascii="宋体" w:hAnsi="宋体"/>
          <w:color w:val="000000"/>
          <w:szCs w:val="21"/>
        </w:rPr>
        <w:t>、文化和教育服务人员</w:t>
      </w:r>
      <w:r>
        <w:rPr>
          <w:rFonts w:ascii="宋体" w:hAnsi="宋体"/>
          <w:color w:val="000000"/>
          <w:szCs w:val="21"/>
        </w:rPr>
        <w:t>、</w:t>
      </w:r>
      <w:r>
        <w:rPr>
          <w:rFonts w:hint="eastAsia" w:ascii="宋体" w:hAnsi="宋体"/>
          <w:color w:val="000000"/>
          <w:szCs w:val="21"/>
        </w:rPr>
        <w:t>健康、</w:t>
      </w:r>
      <w:r>
        <w:rPr>
          <w:rFonts w:ascii="宋体" w:hAnsi="宋体"/>
          <w:color w:val="000000"/>
          <w:szCs w:val="21"/>
        </w:rPr>
        <w:t>体育和</w:t>
      </w:r>
      <w:r>
        <w:rPr>
          <w:rFonts w:hint="eastAsia" w:ascii="宋体" w:hAnsi="宋体"/>
          <w:color w:val="000000"/>
          <w:szCs w:val="21"/>
        </w:rPr>
        <w:t>休闲</w:t>
      </w:r>
      <w:r>
        <w:rPr>
          <w:rFonts w:ascii="宋体" w:hAnsi="宋体"/>
          <w:color w:val="000000"/>
          <w:szCs w:val="21"/>
        </w:rPr>
        <w:t>服务人员</w:t>
      </w:r>
      <w:r>
        <w:rPr>
          <w:rFonts w:hint="eastAsia" w:ascii="宋体" w:hAnsi="宋体"/>
          <w:color w:val="000000"/>
          <w:szCs w:val="21"/>
        </w:rPr>
        <w:t>、其他社会生产服务</w:t>
      </w:r>
      <w:r>
        <w:rPr>
          <w:rFonts w:ascii="宋体" w:hAnsi="宋体"/>
          <w:color w:val="000000"/>
          <w:szCs w:val="21"/>
        </w:rPr>
        <w:t>和生活服务人员</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黑体" w:hAnsi="宋体" w:eastAsia="黑体"/>
          <w:color w:val="000000"/>
          <w:szCs w:val="21"/>
        </w:rPr>
        <w:t xml:space="preserve">生产制造及有关人员  </w:t>
      </w:r>
      <w:r>
        <w:rPr>
          <w:rFonts w:hint="eastAsia" w:ascii="宋体" w:hAnsi="宋体"/>
          <w:color w:val="000000"/>
          <w:szCs w:val="21"/>
        </w:rPr>
        <w:t>指从事产品生产及设备制造、矿产开采、工程施工和运输设备操作的人员及有关人员。具体包括农业生产人员、林业生产人员、畜牧业生产人员、渔业生产人员、农、林、牧、渔业生产辅助人员、其他农、林、牧、渔业生产及辅助人员、农副产品</w:t>
      </w:r>
      <w:r>
        <w:rPr>
          <w:rFonts w:ascii="宋体" w:hAnsi="宋体"/>
          <w:color w:val="000000"/>
          <w:szCs w:val="21"/>
        </w:rPr>
        <w:t>加工人员</w:t>
      </w:r>
      <w:r>
        <w:rPr>
          <w:rFonts w:hint="eastAsia" w:ascii="宋体" w:hAnsi="宋体"/>
          <w:color w:val="000000"/>
          <w:szCs w:val="21"/>
        </w:rPr>
        <w:t>、</w:t>
      </w:r>
      <w:r>
        <w:rPr>
          <w:rFonts w:ascii="宋体" w:hAnsi="宋体"/>
          <w:color w:val="000000"/>
          <w:szCs w:val="21"/>
        </w:rPr>
        <w:t>食品、饮料</w:t>
      </w:r>
      <w:r>
        <w:rPr>
          <w:rFonts w:hint="eastAsia" w:ascii="宋体" w:hAnsi="宋体"/>
          <w:color w:val="000000"/>
          <w:szCs w:val="21"/>
        </w:rPr>
        <w:t>生产</w:t>
      </w:r>
      <w:r>
        <w:rPr>
          <w:rFonts w:ascii="宋体" w:hAnsi="宋体"/>
          <w:color w:val="000000"/>
          <w:szCs w:val="21"/>
        </w:rPr>
        <w:t>加工人员、</w:t>
      </w:r>
      <w:r>
        <w:rPr>
          <w:rFonts w:hint="eastAsia" w:ascii="宋体" w:hAnsi="宋体"/>
          <w:color w:val="000000"/>
          <w:szCs w:val="21"/>
        </w:rPr>
        <w:t>烟草</w:t>
      </w:r>
      <w:r>
        <w:rPr>
          <w:rFonts w:ascii="宋体" w:hAnsi="宋体"/>
          <w:color w:val="000000"/>
          <w:szCs w:val="21"/>
        </w:rPr>
        <w:t>及其制品加工人员</w:t>
      </w:r>
      <w:r>
        <w:rPr>
          <w:rFonts w:hint="eastAsia" w:ascii="宋体" w:hAnsi="宋体"/>
          <w:color w:val="000000"/>
          <w:szCs w:val="21"/>
        </w:rPr>
        <w:t>、</w:t>
      </w:r>
      <w:r>
        <w:rPr>
          <w:rFonts w:ascii="宋体" w:hAnsi="宋体"/>
          <w:color w:val="000000"/>
          <w:szCs w:val="21"/>
        </w:rPr>
        <w:t>纺织、针织、</w:t>
      </w:r>
      <w:r>
        <w:rPr>
          <w:rFonts w:hint="eastAsia" w:ascii="宋体" w:hAnsi="宋体"/>
          <w:color w:val="000000"/>
          <w:szCs w:val="21"/>
        </w:rPr>
        <w:t>印染</w:t>
      </w:r>
      <w:r>
        <w:rPr>
          <w:rFonts w:ascii="宋体" w:hAnsi="宋体"/>
          <w:color w:val="000000"/>
          <w:szCs w:val="21"/>
        </w:rPr>
        <w:t>人员、纺织品、服装和皮革、毛皮制品加工制作人员</w:t>
      </w:r>
      <w:r>
        <w:rPr>
          <w:rFonts w:hint="eastAsia" w:ascii="宋体" w:hAnsi="宋体"/>
          <w:color w:val="000000"/>
          <w:szCs w:val="21"/>
        </w:rPr>
        <w:t>、</w:t>
      </w:r>
      <w:r>
        <w:rPr>
          <w:rFonts w:ascii="宋体" w:hAnsi="宋体"/>
          <w:color w:val="000000"/>
          <w:szCs w:val="21"/>
        </w:rPr>
        <w:t>木材加工、家具与木制品制作人员</w:t>
      </w:r>
      <w:r>
        <w:rPr>
          <w:rFonts w:hint="eastAsia" w:ascii="宋体" w:hAnsi="宋体"/>
          <w:color w:val="000000"/>
          <w:szCs w:val="21"/>
        </w:rPr>
        <w:t>、</w:t>
      </w:r>
      <w:r>
        <w:rPr>
          <w:rFonts w:ascii="宋体" w:hAnsi="宋体"/>
          <w:color w:val="000000"/>
          <w:szCs w:val="21"/>
        </w:rPr>
        <w:t>纸及纸制品生产加工人员</w:t>
      </w:r>
      <w:r>
        <w:rPr>
          <w:rFonts w:hint="eastAsia" w:ascii="宋体" w:hAnsi="宋体"/>
          <w:color w:val="000000"/>
          <w:szCs w:val="21"/>
        </w:rPr>
        <w:t>、</w:t>
      </w:r>
      <w:r>
        <w:rPr>
          <w:rFonts w:ascii="宋体" w:hAnsi="宋体"/>
          <w:color w:val="000000"/>
          <w:szCs w:val="21"/>
        </w:rPr>
        <w:t>印刷和记录媒介</w:t>
      </w:r>
      <w:r>
        <w:rPr>
          <w:rFonts w:hint="eastAsia" w:ascii="宋体" w:hAnsi="宋体"/>
          <w:color w:val="000000"/>
          <w:szCs w:val="21"/>
        </w:rPr>
        <w:t>复制</w:t>
      </w:r>
      <w:r>
        <w:rPr>
          <w:rFonts w:ascii="宋体" w:hAnsi="宋体"/>
          <w:color w:val="000000"/>
          <w:szCs w:val="21"/>
        </w:rPr>
        <w:t>人员、文教、工美、体育和娱乐用品制造人员</w:t>
      </w:r>
      <w:r>
        <w:rPr>
          <w:rFonts w:hint="eastAsia" w:ascii="宋体" w:hAnsi="宋体"/>
          <w:color w:val="000000"/>
          <w:szCs w:val="21"/>
        </w:rPr>
        <w:t>、石油</w:t>
      </w:r>
      <w:r>
        <w:rPr>
          <w:rFonts w:ascii="宋体" w:hAnsi="宋体"/>
          <w:color w:val="000000"/>
          <w:szCs w:val="21"/>
        </w:rPr>
        <w:t>加工</w:t>
      </w:r>
      <w:r>
        <w:rPr>
          <w:rFonts w:hint="eastAsia" w:ascii="宋体" w:hAnsi="宋体"/>
          <w:color w:val="000000"/>
          <w:szCs w:val="21"/>
        </w:rPr>
        <w:t>和</w:t>
      </w:r>
      <w:r>
        <w:rPr>
          <w:rFonts w:ascii="宋体" w:hAnsi="宋体"/>
          <w:color w:val="000000"/>
          <w:szCs w:val="21"/>
        </w:rPr>
        <w:t>炼焦、煤化工生产人员</w:t>
      </w:r>
      <w:r>
        <w:rPr>
          <w:rFonts w:hint="eastAsia" w:ascii="宋体" w:hAnsi="宋体"/>
          <w:color w:val="000000"/>
          <w:szCs w:val="21"/>
        </w:rPr>
        <w:t>、</w:t>
      </w:r>
      <w:r>
        <w:rPr>
          <w:rFonts w:ascii="宋体" w:hAnsi="宋体"/>
          <w:color w:val="000000"/>
          <w:szCs w:val="21"/>
        </w:rPr>
        <w:t>化学原料</w:t>
      </w:r>
      <w:r>
        <w:rPr>
          <w:rFonts w:hint="eastAsia" w:ascii="宋体" w:hAnsi="宋体"/>
          <w:color w:val="000000"/>
          <w:szCs w:val="21"/>
        </w:rPr>
        <w:t>和</w:t>
      </w:r>
      <w:r>
        <w:rPr>
          <w:rFonts w:ascii="宋体" w:hAnsi="宋体"/>
          <w:color w:val="000000"/>
          <w:szCs w:val="21"/>
        </w:rPr>
        <w:t>化学制品制造人员、医药制造人员</w:t>
      </w:r>
      <w:r>
        <w:rPr>
          <w:rFonts w:hint="eastAsia" w:ascii="宋体" w:hAnsi="宋体"/>
          <w:color w:val="000000"/>
          <w:szCs w:val="21"/>
        </w:rPr>
        <w:t>、</w:t>
      </w:r>
      <w:r>
        <w:rPr>
          <w:rFonts w:ascii="宋体" w:hAnsi="宋体"/>
          <w:color w:val="000000"/>
          <w:szCs w:val="21"/>
        </w:rPr>
        <w:t>化学纤维制造人员</w:t>
      </w:r>
      <w:r>
        <w:rPr>
          <w:rFonts w:hint="eastAsia" w:ascii="宋体" w:hAnsi="宋体"/>
          <w:color w:val="000000"/>
          <w:szCs w:val="21"/>
        </w:rPr>
        <w:t>、</w:t>
      </w:r>
      <w:r>
        <w:rPr>
          <w:rFonts w:ascii="宋体" w:hAnsi="宋体"/>
          <w:color w:val="000000"/>
          <w:szCs w:val="21"/>
        </w:rPr>
        <w:t>橡胶和塑料制品制造人员</w:t>
      </w:r>
      <w:r>
        <w:rPr>
          <w:rFonts w:hint="eastAsia" w:ascii="宋体" w:hAnsi="宋体"/>
          <w:color w:val="000000"/>
          <w:szCs w:val="21"/>
        </w:rPr>
        <w:t>、</w:t>
      </w:r>
      <w:r>
        <w:rPr>
          <w:rFonts w:ascii="宋体" w:hAnsi="宋体"/>
          <w:color w:val="000000"/>
          <w:szCs w:val="21"/>
        </w:rPr>
        <w:t>非</w:t>
      </w:r>
      <w:r>
        <w:rPr>
          <w:rFonts w:hint="eastAsia" w:ascii="宋体" w:hAnsi="宋体"/>
          <w:color w:val="000000"/>
          <w:szCs w:val="21"/>
        </w:rPr>
        <w:t>金属</w:t>
      </w:r>
      <w:r>
        <w:rPr>
          <w:rFonts w:ascii="宋体" w:hAnsi="宋体"/>
          <w:color w:val="000000"/>
          <w:szCs w:val="21"/>
        </w:rPr>
        <w:t>矿物制品制造人员、采矿人员</w:t>
      </w:r>
      <w:r>
        <w:rPr>
          <w:rFonts w:hint="eastAsia" w:ascii="宋体" w:hAnsi="宋体"/>
          <w:color w:val="000000"/>
          <w:szCs w:val="21"/>
        </w:rPr>
        <w:t>、</w:t>
      </w:r>
      <w:r>
        <w:rPr>
          <w:rFonts w:ascii="宋体" w:hAnsi="宋体"/>
          <w:color w:val="000000"/>
          <w:szCs w:val="21"/>
        </w:rPr>
        <w:t>金属冶炼和压延加工人员</w:t>
      </w:r>
      <w:r>
        <w:rPr>
          <w:rFonts w:hint="eastAsia" w:ascii="宋体" w:hAnsi="宋体"/>
          <w:color w:val="000000"/>
          <w:szCs w:val="21"/>
        </w:rPr>
        <w:t>、</w:t>
      </w:r>
      <w:r>
        <w:rPr>
          <w:rFonts w:ascii="宋体" w:hAnsi="宋体"/>
          <w:color w:val="000000"/>
          <w:szCs w:val="21"/>
        </w:rPr>
        <w:t>机械制造基础加工人员</w:t>
      </w:r>
      <w:r>
        <w:rPr>
          <w:rFonts w:hint="eastAsia" w:ascii="宋体" w:hAnsi="宋体"/>
          <w:color w:val="000000"/>
          <w:szCs w:val="21"/>
        </w:rPr>
        <w:t>、</w:t>
      </w:r>
      <w:r>
        <w:rPr>
          <w:rFonts w:ascii="宋体" w:hAnsi="宋体"/>
          <w:color w:val="000000"/>
          <w:szCs w:val="21"/>
        </w:rPr>
        <w:t>金属制品制造人员</w:t>
      </w:r>
      <w:r>
        <w:rPr>
          <w:rFonts w:hint="eastAsia" w:ascii="宋体" w:hAnsi="宋体"/>
          <w:color w:val="000000"/>
          <w:szCs w:val="21"/>
        </w:rPr>
        <w:t>、</w:t>
      </w:r>
      <w:r>
        <w:rPr>
          <w:rFonts w:ascii="宋体" w:hAnsi="宋体"/>
          <w:color w:val="000000"/>
          <w:szCs w:val="21"/>
        </w:rPr>
        <w:t>通用设备制造人员</w:t>
      </w:r>
      <w:r>
        <w:rPr>
          <w:rFonts w:hint="eastAsia" w:ascii="宋体" w:hAnsi="宋体"/>
          <w:color w:val="000000"/>
          <w:szCs w:val="21"/>
        </w:rPr>
        <w:t>、专</w:t>
      </w:r>
      <w:r>
        <w:rPr>
          <w:rFonts w:ascii="宋体" w:hAnsi="宋体"/>
          <w:color w:val="000000"/>
          <w:szCs w:val="21"/>
        </w:rPr>
        <w:t>用设备制造人员</w:t>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汽车</w:t>
      </w:r>
      <w:r>
        <w:rPr>
          <w:rFonts w:ascii="宋体" w:hAnsi="宋体"/>
          <w:color w:val="000000"/>
          <w:szCs w:val="21"/>
        </w:rPr>
        <w:t>制造人员</w:t>
      </w:r>
      <w:r>
        <w:rPr>
          <w:rFonts w:hint="eastAsia" w:ascii="宋体" w:hAnsi="宋体"/>
          <w:color w:val="000000"/>
          <w:szCs w:val="21"/>
        </w:rPr>
        <w:t>、</w:t>
      </w:r>
      <w:r>
        <w:rPr>
          <w:rFonts w:ascii="宋体" w:hAnsi="宋体"/>
          <w:color w:val="000000"/>
          <w:szCs w:val="21"/>
        </w:rPr>
        <w:t>铁路、船舶、航空</w:t>
      </w:r>
      <w:r>
        <w:rPr>
          <w:rFonts w:hint="eastAsia" w:ascii="宋体" w:hAnsi="宋体"/>
          <w:color w:val="000000"/>
          <w:szCs w:val="21"/>
        </w:rPr>
        <w:t>航天</w:t>
      </w:r>
      <w:r>
        <w:rPr>
          <w:rFonts w:ascii="宋体" w:hAnsi="宋体"/>
          <w:color w:val="000000"/>
          <w:szCs w:val="21"/>
        </w:rPr>
        <w:t>设备制造人员</w:t>
      </w:r>
      <w:r>
        <w:rPr>
          <w:rFonts w:hint="eastAsia" w:ascii="宋体" w:hAnsi="宋体"/>
          <w:color w:val="000000"/>
          <w:szCs w:val="21"/>
        </w:rPr>
        <w:t>、</w:t>
      </w:r>
      <w:r>
        <w:rPr>
          <w:rFonts w:ascii="宋体" w:hAnsi="宋体"/>
          <w:color w:val="000000"/>
          <w:szCs w:val="21"/>
        </w:rPr>
        <w:t>电</w:t>
      </w:r>
      <w:r>
        <w:rPr>
          <w:rFonts w:hint="eastAsia" w:ascii="宋体" w:hAnsi="宋体"/>
          <w:color w:val="000000"/>
          <w:szCs w:val="21"/>
        </w:rPr>
        <w:t>气</w:t>
      </w:r>
      <w:r>
        <w:rPr>
          <w:rFonts w:ascii="宋体" w:hAnsi="宋体"/>
          <w:color w:val="000000"/>
          <w:szCs w:val="21"/>
        </w:rPr>
        <w:t>机械和器材制造人员</w:t>
      </w:r>
      <w:r>
        <w:rPr>
          <w:rFonts w:hint="eastAsia" w:ascii="宋体" w:hAnsi="宋体"/>
          <w:color w:val="000000"/>
          <w:szCs w:val="21"/>
        </w:rPr>
        <w:t>、</w:t>
      </w:r>
      <w:r>
        <w:rPr>
          <w:rFonts w:ascii="宋体" w:hAnsi="宋体"/>
          <w:color w:val="000000"/>
          <w:szCs w:val="21"/>
        </w:rPr>
        <w:t>计算机、通信和其他电子设备</w:t>
      </w:r>
      <w:r>
        <w:rPr>
          <w:rFonts w:hint="eastAsia" w:ascii="宋体" w:hAnsi="宋体"/>
          <w:color w:val="000000"/>
          <w:szCs w:val="21"/>
        </w:rPr>
        <w:t>制造</w:t>
      </w:r>
      <w:r>
        <w:rPr>
          <w:rFonts w:ascii="宋体" w:hAnsi="宋体"/>
          <w:color w:val="000000"/>
          <w:szCs w:val="21"/>
        </w:rPr>
        <w:t>人员</w:t>
      </w:r>
      <w:r>
        <w:rPr>
          <w:rFonts w:hint="eastAsia" w:ascii="宋体" w:hAnsi="宋体"/>
          <w:color w:val="000000"/>
          <w:szCs w:val="21"/>
        </w:rPr>
        <w:t>、</w:t>
      </w:r>
      <w:r>
        <w:rPr>
          <w:rFonts w:ascii="宋体" w:hAnsi="宋体"/>
          <w:color w:val="000000"/>
          <w:szCs w:val="21"/>
        </w:rPr>
        <w:t>仪器仪表制造人员、</w:t>
      </w:r>
      <w:r>
        <w:rPr>
          <w:rFonts w:hint="eastAsia" w:ascii="宋体" w:hAnsi="宋体"/>
          <w:color w:val="000000"/>
          <w:szCs w:val="21"/>
        </w:rPr>
        <w:t>再生</w:t>
      </w:r>
      <w:r>
        <w:rPr>
          <w:rFonts w:ascii="宋体" w:hAnsi="宋体"/>
          <w:color w:val="000000"/>
          <w:szCs w:val="21"/>
        </w:rPr>
        <w:t>资源综合利用人员</w:t>
      </w:r>
      <w:r>
        <w:rPr>
          <w:rFonts w:hint="eastAsia" w:ascii="宋体" w:hAnsi="宋体"/>
          <w:color w:val="000000"/>
          <w:szCs w:val="21"/>
        </w:rPr>
        <w:t>、</w:t>
      </w:r>
      <w:r>
        <w:rPr>
          <w:rFonts w:ascii="宋体" w:hAnsi="宋体"/>
          <w:color w:val="000000"/>
          <w:szCs w:val="21"/>
        </w:rPr>
        <w:t>电力、热力、气体、水生产和输</w:t>
      </w:r>
      <w:r>
        <w:rPr>
          <w:rFonts w:hint="eastAsia" w:ascii="宋体" w:hAnsi="宋体"/>
          <w:color w:val="000000"/>
          <w:szCs w:val="21"/>
        </w:rPr>
        <w:t>配</w:t>
      </w:r>
      <w:r>
        <w:rPr>
          <w:rFonts w:ascii="宋体" w:hAnsi="宋体"/>
          <w:color w:val="000000"/>
          <w:szCs w:val="21"/>
        </w:rPr>
        <w:t>人员</w:t>
      </w:r>
      <w:r>
        <w:rPr>
          <w:rFonts w:hint="eastAsia" w:ascii="宋体" w:hAnsi="宋体"/>
          <w:color w:val="000000"/>
          <w:szCs w:val="21"/>
        </w:rPr>
        <w:t>、</w:t>
      </w:r>
      <w:r>
        <w:rPr>
          <w:rFonts w:ascii="宋体" w:hAnsi="宋体"/>
          <w:color w:val="000000"/>
          <w:szCs w:val="21"/>
        </w:rPr>
        <w:t>建筑施工人员</w:t>
      </w:r>
      <w:r>
        <w:rPr>
          <w:rFonts w:hint="eastAsia" w:ascii="宋体" w:hAnsi="宋体"/>
          <w:color w:val="000000"/>
          <w:szCs w:val="21"/>
        </w:rPr>
        <w:t>、</w:t>
      </w:r>
      <w:r>
        <w:rPr>
          <w:rFonts w:ascii="宋体" w:hAnsi="宋体"/>
          <w:color w:val="000000"/>
          <w:szCs w:val="21"/>
        </w:rPr>
        <w:t>运输设备和通用工程机械操作人员及有关人员、生产辅助人员、其他生产制造及有关人员</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指月度或年度平均拥有的从业人员数。年度平均人数按单位实际月平均人数计算得到，不得用期末人数替代。</w:t>
      </w:r>
    </w:p>
    <w:p>
      <w:pPr>
        <w:numPr>
          <w:ilvl w:val="255"/>
          <w:numId w:val="0"/>
        </w:numPr>
        <w:spacing w:line="360" w:lineRule="exact"/>
        <w:ind w:left="420" w:firstLine="0"/>
        <w:rPr>
          <w:rFonts w:ascii="宋体" w:hAnsi="宋体"/>
          <w:color w:val="000000"/>
          <w:szCs w:val="21"/>
        </w:rPr>
      </w:pPr>
      <w:r>
        <w:rPr>
          <w:rFonts w:hint="eastAsia"/>
          <w:color w:val="000000"/>
        </w:rPr>
        <w:t>1</w:t>
      </w:r>
      <w:r>
        <w:rPr>
          <w:rFonts w:hint="eastAsia" w:ascii="宋体" w:hAnsi="宋体"/>
          <w:color w:val="000000"/>
          <w:szCs w:val="21"/>
        </w:rPr>
        <w:t xml:space="preserve">. </w:t>
      </w:r>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ascii="宋体" w:hAnsi="宋体"/>
          <w:color w:val="000000"/>
          <w:szCs w:val="21"/>
        </w:rPr>
      </w:pPr>
      <w:r>
        <w:rPr>
          <w:rFonts w:hint="eastAsia" w:ascii="宋体" w:hAnsi="宋体"/>
          <w:color w:val="000000"/>
          <w:szCs w:val="21"/>
        </w:rPr>
        <w:t>月平均人数=报告月内每天实有的全部人数之和</w:t>
      </w:r>
      <w:r>
        <w:rPr>
          <w:rFonts w:ascii="宋体" w:hAnsi="宋体"/>
          <w:color w:val="000000"/>
          <w:szCs w:val="21"/>
        </w:rPr>
        <w:t>/</w:t>
      </w:r>
      <w:r>
        <w:rPr>
          <w:rFonts w:hint="eastAsia" w:ascii="宋体" w:hAnsi="宋体"/>
          <w:color w:val="000000"/>
          <w:szCs w:val="21"/>
        </w:rPr>
        <w:t>报告月的日历日数</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对人员增减变动很小的单位，其月平均人数也可以用月初人数与月末人数之和除以2求得。计算公式为：</w:t>
      </w:r>
    </w:p>
    <w:p>
      <w:pPr>
        <w:snapToGrid w:val="0"/>
        <w:spacing w:line="360" w:lineRule="exact"/>
        <w:ind w:firstLine="420" w:firstLineChars="200"/>
        <w:rPr>
          <w:rFonts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（2）对新建立不满整月的单位（月中或月末建立），在计算报告月的平均人数时，应以其建立后各天实有人数之和，除以整月天数求得，而不能除以该单位建立的天数。</w:t>
      </w:r>
    </w:p>
    <w:p>
      <w:pPr>
        <w:spacing w:line="360" w:lineRule="atLeast"/>
        <w:ind w:firstLine="420" w:firstLineChars="200"/>
        <w:rPr>
          <w:rFonts w:ascii="宋体" w:hAnsi="宋体"/>
          <w:color w:val="000000"/>
          <w:szCs w:val="21"/>
        </w:rPr>
      </w:pPr>
      <w:r>
        <w:rPr>
          <w:rFonts w:hint="eastAsia" w:ascii="宋体" w:hAnsi="宋体"/>
          <w:color w:val="000000"/>
          <w:szCs w:val="21"/>
        </w:rPr>
        <w:t>2. 年平均人数是以12个月的平均人数之和除以12求得。计算公式为：</w:t>
      </w:r>
    </w:p>
    <w:p>
      <w:pPr>
        <w:spacing w:line="360" w:lineRule="atLeast"/>
        <w:rPr>
          <w:rFonts w:ascii="宋体" w:hAnsi="宋体"/>
          <w:color w:val="000000"/>
          <w:szCs w:val="21"/>
        </w:rPr>
      </w:pPr>
      <w:r>
        <w:rPr>
          <w:rFonts w:hint="eastAsia" w:ascii="宋体" w:hAnsi="宋体"/>
          <w:color w:val="000000"/>
          <w:szCs w:val="21"/>
        </w:rPr>
        <w:t xml:space="preserve">    年平均人数=报告年内12个月平均人数之和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ascii="宋体" w:hAnsi="宋体"/>
          <w:color w:val="000000"/>
          <w:spacing w:val="8"/>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指本单位在月度或年度直接支付给本单位全部从业人员的劳动报酬总额。</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int="eastAsia" w:hAnsi="宋体"/>
          <w:color w:val="000000"/>
          <w:szCs w:val="21"/>
        </w:rPr>
        <w:t>，</w:t>
      </w: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rPr>
        <w:t>，入股分红、股权激励兑现的收益和各种资本性收益等</w:t>
      </w:r>
      <w:r>
        <w:rPr>
          <w:rFonts w:hint="eastAsia" w:hAnsi="宋体"/>
          <w:szCs w:val="21"/>
        </w:rPr>
        <w:t>。</w:t>
      </w:r>
      <w:r>
        <w:rPr>
          <w:rFonts w:hint="eastAsia" w:ascii="宋体" w:hAnsi="宋体"/>
          <w:color w:val="000000"/>
          <w:spacing w:val="8"/>
          <w:szCs w:val="21"/>
        </w:rPr>
        <w:t>工资总额具体包括:</w:t>
      </w:r>
      <w:r>
        <w:rPr>
          <w:rFonts w:ascii="宋体" w:hAnsi="宋体"/>
          <w:color w:val="000000"/>
          <w:spacing w:val="8"/>
          <w:szCs w:val="21"/>
        </w:rPr>
        <w:t xml:space="preserve"> </w:t>
      </w:r>
    </w:p>
    <w:p>
      <w:pPr>
        <w:pStyle w:val="9"/>
        <w:spacing w:line="360" w:lineRule="exact"/>
        <w:ind w:firstLine="420" w:firstLineChars="200"/>
        <w:rPr>
          <w:rFonts w:hAnsi="宋体"/>
          <w:color w:val="000000"/>
          <w:szCs w:val="21"/>
        </w:rPr>
      </w:pPr>
      <w:r>
        <w:rPr>
          <w:rFonts w:hint="eastAsia" w:hAnsi="宋体"/>
          <w:color w:val="000000"/>
          <w:szCs w:val="21"/>
        </w:rPr>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pPr>
        <w:pStyle w:val="9"/>
        <w:spacing w:line="360" w:lineRule="exact"/>
        <w:ind w:firstLine="420" w:firstLineChars="200"/>
        <w:rPr>
          <w:rFonts w:hAnsi="宋体"/>
          <w:color w:val="000000"/>
          <w:szCs w:val="21"/>
        </w:rPr>
      </w:pPr>
      <w:r>
        <w:rPr>
          <w:rFonts w:hint="eastAsia" w:hAnsi="宋体"/>
          <w:color w:val="000000"/>
          <w:szCs w:val="21"/>
        </w:rPr>
        <w:t>2.奖金，指支付给本单位从业人员的超额劳动报酬和增收节支的劳动报酬。具体包括：年终奖、全勤奖、生产奖、节约奖、劳动竞赛奖和其他名目的奖金以及某工作事项完成后的提成工资、年底双薪等。</w:t>
      </w:r>
    </w:p>
    <w:p>
      <w:pPr>
        <w:pStyle w:val="9"/>
        <w:spacing w:line="360" w:lineRule="exact"/>
        <w:ind w:firstLine="420" w:firstLineChars="200"/>
        <w:rPr>
          <w:rFonts w:hAnsi="宋体"/>
          <w:color w:val="000000"/>
          <w:szCs w:val="21"/>
        </w:rPr>
      </w:pPr>
      <w:r>
        <w:rPr>
          <w:rFonts w:hint="eastAsia" w:hAnsi="宋体"/>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9"/>
        <w:spacing w:line="360" w:lineRule="exact"/>
        <w:ind w:firstLine="420" w:firstLineChars="200"/>
        <w:rPr>
          <w:rFonts w:hAnsi="宋体"/>
          <w:color w:val="000000"/>
          <w:szCs w:val="21"/>
        </w:rPr>
      </w:pPr>
      <w:r>
        <w:rPr>
          <w:rFonts w:hint="eastAsia" w:hAnsi="宋体"/>
          <w:color w:val="000000"/>
          <w:szCs w:val="21"/>
        </w:rPr>
        <w:t>4.其他工资，指单位发放给从业人员除工资、奖金、津贴和补贴外的劳动报酬。如补发上一年度的工资等。</w:t>
      </w:r>
    </w:p>
    <w:p>
      <w:pPr>
        <w:pStyle w:val="9"/>
        <w:spacing w:line="360" w:lineRule="exact"/>
        <w:ind w:firstLine="420" w:firstLineChars="200"/>
        <w:rPr>
          <w:rFonts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指本单位直接支付给本单位全部在岗职工的劳动报酬总额。</w:t>
      </w:r>
    </w:p>
    <w:p>
      <w:pPr>
        <w:spacing w:line="360" w:lineRule="exact"/>
        <w:ind w:firstLine="420" w:firstLineChars="20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指实际用工单位（派遣人员的使用方）在一定时期内为使用劳务派遣人员而付出的劳动报酬总额，但不包括因使用派遣人员而支付的管理费用和其他用工成本。</w:t>
      </w:r>
    </w:p>
    <w:p>
      <w:pPr>
        <w:pStyle w:val="9"/>
        <w:spacing w:line="360" w:lineRule="atLeast"/>
        <w:ind w:firstLine="420" w:firstLineChars="200"/>
        <w:rPr>
          <w:color w:val="000000"/>
          <w:szCs w:val="21"/>
        </w:rPr>
      </w:pPr>
      <w:r>
        <w:rPr>
          <w:rFonts w:hint="eastAsia" w:ascii="黑体" w:eastAsia="黑体"/>
          <w:color w:val="000000"/>
          <w:szCs w:val="21"/>
        </w:rPr>
        <w:t xml:space="preserve">其他从业人员工资总额  </w:t>
      </w:r>
      <w:r>
        <w:rPr>
          <w:rFonts w:hint="eastAsia"/>
          <w:color w:val="000000"/>
          <w:szCs w:val="21"/>
        </w:rPr>
        <w:t>指本单位直接支付给本单位其他从业人员的全部劳动报酬。</w:t>
      </w:r>
    </w:p>
    <w:p>
      <w:pPr>
        <w:pStyle w:val="9"/>
        <w:spacing w:line="360" w:lineRule="atLeast"/>
        <w:ind w:firstLine="420" w:firstLineChars="200"/>
        <w:rPr>
          <w:color w:val="000000"/>
          <w:szCs w:val="21"/>
        </w:rPr>
      </w:pPr>
      <w:r>
        <w:rPr>
          <w:rFonts w:hint="eastAsia" w:ascii="黑体" w:eastAsia="黑体"/>
          <w:color w:val="000000"/>
          <w:szCs w:val="21"/>
        </w:rPr>
        <w:t>正常工资</w:t>
      </w:r>
      <w:r>
        <w:rPr>
          <w:color w:val="000000"/>
          <w:szCs w:val="21"/>
          <w:lang w:val="en"/>
        </w:rPr>
        <w:t xml:space="preserve">  </w:t>
      </w:r>
      <w:r>
        <w:rPr>
          <w:rFonts w:hint="eastAsia"/>
          <w:color w:val="000000"/>
          <w:szCs w:val="21"/>
        </w:rPr>
        <w:t>按月规律性发放的工资部分，包括月度基本工资和绩效工资，月度奖金、月度津贴和补贴等。本年内因拖欠工资而造成的延迟或错月补发的正常工资应填在本项。</w:t>
      </w:r>
    </w:p>
    <w:p>
      <w:pPr>
        <w:pStyle w:val="9"/>
        <w:spacing w:line="360" w:lineRule="atLeast"/>
        <w:ind w:firstLine="420" w:firstLineChars="200"/>
        <w:rPr>
          <w:color w:val="000000"/>
          <w:szCs w:val="21"/>
        </w:rPr>
      </w:pPr>
      <w:r>
        <w:rPr>
          <w:rFonts w:hint="eastAsia"/>
          <w:color w:val="000000"/>
          <w:szCs w:val="21"/>
        </w:rPr>
        <w:tab/>
      </w:r>
      <w:r>
        <w:rPr>
          <w:rFonts w:hint="eastAsia" w:ascii="黑体" w:eastAsia="黑体"/>
          <w:color w:val="000000"/>
          <w:szCs w:val="21"/>
        </w:rPr>
        <w:t>不定期奖金</w:t>
      </w:r>
      <w:r>
        <w:rPr>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pPr>
        <w:pStyle w:val="9"/>
        <w:spacing w:line="360" w:lineRule="atLeast"/>
        <w:ind w:firstLine="420" w:firstLineChars="200"/>
        <w:rPr>
          <w:color w:val="000000"/>
          <w:szCs w:val="21"/>
        </w:rPr>
      </w:pPr>
      <w:r>
        <w:rPr>
          <w:rFonts w:hint="eastAsia"/>
          <w:color w:val="000000"/>
          <w:szCs w:val="21"/>
        </w:rPr>
        <w:tab/>
      </w:r>
      <w:r>
        <w:rPr>
          <w:rFonts w:hint="eastAsia" w:ascii="黑体" w:eastAsia="黑体"/>
          <w:color w:val="000000"/>
          <w:szCs w:val="21"/>
        </w:rPr>
        <w:t>其他（工资）</w:t>
      </w:r>
      <w:r>
        <w:rPr>
          <w:rFonts w:hint="eastAsia" w:ascii="黑体" w:eastAsia="黑体"/>
          <w:color w:val="000000"/>
          <w:szCs w:val="21"/>
          <w:lang w:val="en"/>
        </w:rPr>
        <w:t xml:space="preserve"> </w:t>
      </w:r>
      <w:r>
        <w:rPr>
          <w:color w:val="000000"/>
          <w:szCs w:val="21"/>
          <w:lang w:val="en"/>
        </w:rPr>
        <w:t xml:space="preserve"> </w:t>
      </w:r>
      <w:r>
        <w:rPr>
          <w:rFonts w:hint="eastAsia"/>
          <w:color w:val="000000"/>
          <w:szCs w:val="21"/>
        </w:rPr>
        <w:t>指正常工资和不定期奖金以外的其他工资部分，包括因当年调整工资（或补贴）标准而补发的上年度工资或各种补贴等。</w:t>
      </w:r>
    </w:p>
    <w:p>
      <w:pPr>
        <w:pStyle w:val="9"/>
        <w:spacing w:line="360" w:lineRule="atLeast"/>
        <w:ind w:firstLine="420" w:firstLineChars="200"/>
        <w:rPr>
          <w:rFonts w:hAnsi="宋体"/>
          <w:color w:val="000000"/>
          <w:szCs w:val="21"/>
        </w:rPr>
      </w:pPr>
      <w:r>
        <w:rPr>
          <w:rFonts w:hint="eastAsia" w:ascii="黑体" w:eastAsia="黑体"/>
          <w:color w:val="000000"/>
        </w:rPr>
        <w:t>从业人员平均工资</w:t>
      </w:r>
      <w:r>
        <w:rPr>
          <w:rFonts w:hint="eastAsia"/>
          <w:color w:val="000000"/>
        </w:rPr>
        <w:t xml:space="preserve">  </w:t>
      </w:r>
      <w:r>
        <w:rPr>
          <w:rFonts w:hint="eastAsia" w:hAnsi="宋体"/>
          <w:color w:val="000000"/>
        </w:rPr>
        <w:t>指本单位</w:t>
      </w:r>
      <w:r>
        <w:rPr>
          <w:rFonts w:hint="eastAsia" w:hAnsi="宋体"/>
          <w:color w:val="000000"/>
          <w:szCs w:val="21"/>
        </w:rPr>
        <w:t>从业人员平均每人所得的工资额。计算公式为：</w:t>
      </w:r>
    </w:p>
    <w:p>
      <w:pPr>
        <w:pStyle w:val="9"/>
        <w:spacing w:line="360" w:lineRule="atLeast"/>
        <w:ind w:firstLine="420" w:firstLineChars="200"/>
        <w:rPr>
          <w:rFonts w:hAnsi="宋体"/>
          <w:color w:val="000000"/>
          <w:szCs w:val="21"/>
        </w:rPr>
      </w:pPr>
      <w:r>
        <w:rPr>
          <w:rFonts w:hint="eastAsia" w:hAnsi="宋体"/>
          <w:color w:val="000000"/>
          <w:szCs w:val="21"/>
        </w:rPr>
        <w:t>从业人员平均工资 = 从业人员工资总额/从业人员平均人数</w:t>
      </w:r>
    </w:p>
    <w:p>
      <w:pPr>
        <w:pStyle w:val="9"/>
        <w:spacing w:line="360" w:lineRule="atLeast"/>
        <w:ind w:firstLine="420" w:firstLineChars="200"/>
        <w:rPr>
          <w:rFonts w:hAnsi="宋体" w:cs="宋体"/>
          <w:bCs/>
          <w:color w:val="000000"/>
          <w:kern w:val="0"/>
          <w:szCs w:val="21"/>
        </w:rPr>
      </w:pPr>
      <w:r>
        <w:rPr>
          <w:rFonts w:hint="eastAsia" w:ascii="黑体" w:hAnsi="宋体" w:eastAsia="黑体" w:cs="宋体"/>
          <w:bCs/>
          <w:color w:val="000000"/>
          <w:kern w:val="0"/>
          <w:szCs w:val="21"/>
        </w:rPr>
        <w:t>在岗职工平均工资</w:t>
      </w:r>
      <w:r>
        <w:rPr>
          <w:rFonts w:hint="eastAsia" w:hAnsi="宋体" w:cs="宋体"/>
          <w:bCs/>
          <w:color w:val="000000"/>
          <w:kern w:val="0"/>
          <w:szCs w:val="21"/>
        </w:rPr>
        <w:t xml:space="preserve">  指本单位在岗职工</w:t>
      </w:r>
      <w:r>
        <w:rPr>
          <w:rFonts w:hint="eastAsia" w:hAnsi="宋体"/>
          <w:color w:val="000000"/>
          <w:szCs w:val="21"/>
        </w:rPr>
        <w:t>平均每人所得的工资额</w:t>
      </w:r>
      <w:r>
        <w:rPr>
          <w:rFonts w:hint="eastAsia" w:hAnsi="宋体" w:cs="宋体"/>
          <w:bCs/>
          <w:color w:val="000000"/>
          <w:kern w:val="0"/>
          <w:szCs w:val="21"/>
        </w:rPr>
        <w:t>。计算公式为：</w:t>
      </w:r>
    </w:p>
    <w:p>
      <w:pPr>
        <w:pStyle w:val="9"/>
        <w:spacing w:line="360" w:lineRule="atLeast"/>
        <w:ind w:firstLine="420" w:firstLineChars="200"/>
        <w:rPr>
          <w:rFonts w:hAnsi="宋体"/>
          <w:color w:val="000000"/>
          <w:szCs w:val="21"/>
        </w:rPr>
      </w:pPr>
      <w:r>
        <w:rPr>
          <w:rFonts w:hint="eastAsia" w:hAnsi="宋体"/>
          <w:color w:val="000000"/>
          <w:szCs w:val="21"/>
        </w:rPr>
        <w:t>在岗职工平均工资 = 在岗职工工资总额/在岗职工平均人数</w:t>
      </w:r>
    </w:p>
    <w:p>
      <w:pPr>
        <w:pStyle w:val="9"/>
        <w:spacing w:line="360" w:lineRule="atLeast"/>
        <w:ind w:firstLine="420" w:firstLineChars="200"/>
        <w:rPr>
          <w:rFonts w:hAnsi="宋体"/>
          <w:color w:val="000000"/>
          <w:szCs w:val="21"/>
        </w:rPr>
      </w:pPr>
      <w:r>
        <w:rPr>
          <w:rFonts w:hint="eastAsia" w:ascii="黑体" w:hAnsi="宋体" w:eastAsia="黑体"/>
          <w:color w:val="000000"/>
          <w:szCs w:val="21"/>
        </w:rPr>
        <w:t xml:space="preserve">劳务派遣人员平均工资  </w:t>
      </w:r>
      <w:r>
        <w:rPr>
          <w:rFonts w:hint="eastAsia" w:hAnsi="宋体"/>
          <w:color w:val="000000"/>
          <w:szCs w:val="21"/>
        </w:rPr>
        <w:t>指本单位劳务派遣人员平均每人所得的工资额。计算公式为：</w:t>
      </w:r>
    </w:p>
    <w:p>
      <w:pPr>
        <w:pStyle w:val="9"/>
        <w:spacing w:line="360" w:lineRule="atLeast"/>
        <w:ind w:firstLine="420" w:firstLineChars="200"/>
        <w:rPr>
          <w:rFonts w:hAnsi="宋体"/>
          <w:color w:val="000000"/>
          <w:szCs w:val="21"/>
        </w:rPr>
      </w:pPr>
      <w:r>
        <w:rPr>
          <w:rFonts w:hint="eastAsia" w:hAnsi="宋体"/>
          <w:color w:val="000000"/>
          <w:szCs w:val="21"/>
        </w:rPr>
        <w:t>劳务派遣人员平均工资 = 劳务派遣人员工资总额/劳务派遣人员平均人数</w:t>
      </w:r>
    </w:p>
    <w:p>
      <w:pPr>
        <w:pStyle w:val="9"/>
        <w:spacing w:line="360" w:lineRule="exact"/>
        <w:ind w:firstLine="420" w:firstLineChars="200"/>
        <w:rPr>
          <w:rFonts w:hAnsi="宋体"/>
          <w:color w:val="000000"/>
          <w:szCs w:val="21"/>
        </w:rPr>
      </w:pPr>
      <w:r>
        <w:rPr>
          <w:rFonts w:hint="eastAsia" w:ascii="黑体" w:hAnsi="宋体" w:eastAsia="黑体"/>
          <w:color w:val="000000"/>
          <w:szCs w:val="21"/>
        </w:rPr>
        <w:t xml:space="preserve">其他从业人员平均工资  </w:t>
      </w:r>
      <w:r>
        <w:rPr>
          <w:rFonts w:hint="eastAsia" w:hAnsi="宋体"/>
          <w:color w:val="000000"/>
          <w:szCs w:val="21"/>
        </w:rPr>
        <w:t>指本单位其他从业人员平均每人所得的工资额。计算公式为：</w:t>
      </w:r>
    </w:p>
    <w:p>
      <w:pPr>
        <w:pStyle w:val="9"/>
        <w:spacing w:line="360" w:lineRule="exact"/>
        <w:ind w:firstLine="420" w:firstLineChars="200"/>
        <w:rPr>
          <w:rFonts w:hAnsi="宋体"/>
          <w:color w:val="000000"/>
          <w:szCs w:val="21"/>
        </w:rPr>
      </w:pPr>
      <w:r>
        <w:rPr>
          <w:rFonts w:hint="eastAsia" w:hAnsi="宋体"/>
          <w:color w:val="000000"/>
          <w:szCs w:val="21"/>
        </w:rPr>
        <w:t xml:space="preserve">其他从业人员平均工资 = 其他从业人员工资总额/其他从业人员平均人数    </w:t>
      </w:r>
    </w:p>
    <w:p>
      <w:pPr>
        <w:snapToGrid w:val="0"/>
        <w:spacing w:before="480" w:beforeLines="200" w:after="240" w:afterLines="100"/>
        <w:jc w:val="center"/>
        <w:outlineLvl w:val="1"/>
        <w:rPr>
          <w:rFonts w:ascii="黑体" w:hAnsi="黑体" w:eastAsia="黑体"/>
          <w:color w:val="000000"/>
          <w:kern w:val="0"/>
          <w:sz w:val="32"/>
          <w:szCs w:val="32"/>
        </w:rPr>
      </w:pPr>
      <w:r>
        <w:rPr>
          <w:rFonts w:ascii="黑体" w:hAnsi="宋体" w:eastAsia="黑体"/>
          <w:color w:val="000000"/>
          <w:sz w:val="32"/>
        </w:rPr>
        <w:br w:type="page"/>
      </w:r>
      <w:bookmarkStart w:id="126" w:name="_Toc1852253544"/>
      <w:bookmarkStart w:id="127" w:name="_Toc186341966"/>
      <w:bookmarkStart w:id="128" w:name="_Toc1105783412"/>
      <w:bookmarkStart w:id="129" w:name="_Toc1667279114"/>
      <w:bookmarkStart w:id="130" w:name="_Toc1447736500"/>
      <w:bookmarkStart w:id="131" w:name="_Toc115557810"/>
      <w:bookmarkStart w:id="132" w:name="_Toc464715032"/>
      <w:bookmarkStart w:id="133" w:name="_Toc1469460456"/>
      <w:r>
        <w:rPr>
          <w:rFonts w:hint="eastAsia" w:ascii="黑体" w:hAnsi="黑体" w:eastAsia="黑体"/>
          <w:color w:val="000000"/>
          <w:kern w:val="0"/>
          <w:sz w:val="32"/>
          <w:szCs w:val="32"/>
        </w:rPr>
        <w:t>（三）抽样调查方案</w:t>
      </w:r>
      <w:bookmarkEnd w:id="126"/>
      <w:bookmarkEnd w:id="127"/>
      <w:bookmarkEnd w:id="128"/>
      <w:bookmarkEnd w:id="129"/>
      <w:bookmarkEnd w:id="130"/>
      <w:bookmarkEnd w:id="131"/>
      <w:bookmarkEnd w:id="132"/>
      <w:bookmarkEnd w:id="133"/>
    </w:p>
    <w:p>
      <w:pPr>
        <w:spacing w:line="480" w:lineRule="exact"/>
        <w:ind w:firstLine="420" w:firstLineChars="200"/>
        <w:outlineLvl w:val="9"/>
        <w:rPr>
          <w:rFonts w:ascii="黑体" w:hAnsi="黑体" w:eastAsia="黑体"/>
          <w:color w:val="000000"/>
          <w:szCs w:val="21"/>
        </w:rPr>
      </w:pPr>
      <w:bookmarkStart w:id="134" w:name="_Toc1281250838"/>
      <w:bookmarkStart w:id="135" w:name="_Toc986019668"/>
      <w:bookmarkStart w:id="136" w:name="_Toc1090850230"/>
      <w:bookmarkStart w:id="137" w:name="_Toc128438264"/>
      <w:bookmarkStart w:id="138" w:name="_Toc1609547241"/>
      <w:bookmarkStart w:id="139" w:name="_Toc1063755934"/>
      <w:bookmarkStart w:id="140" w:name="_Toc1413128397"/>
      <w:r>
        <w:rPr>
          <w:rFonts w:hint="eastAsia" w:ascii="黑体" w:hAnsi="黑体" w:eastAsia="黑体"/>
          <w:color w:val="000000"/>
          <w:szCs w:val="21"/>
        </w:rPr>
        <w:t>一、调查目标</w:t>
      </w:r>
      <w:bookmarkEnd w:id="134"/>
      <w:bookmarkEnd w:id="135"/>
      <w:bookmarkEnd w:id="136"/>
      <w:bookmarkEnd w:id="137"/>
      <w:bookmarkEnd w:id="138"/>
      <w:bookmarkEnd w:id="139"/>
      <w:bookmarkEnd w:id="140"/>
    </w:p>
    <w:p>
      <w:pPr>
        <w:spacing w:line="480" w:lineRule="exact"/>
        <w:ind w:firstLine="420" w:firstLineChars="200"/>
        <w:rPr>
          <w:rFonts w:ascii="宋体" w:hAnsi="宋体"/>
          <w:color w:val="000000"/>
          <w:szCs w:val="21"/>
        </w:rPr>
      </w:pPr>
      <w:r>
        <w:rPr>
          <w:rFonts w:hint="eastAsia" w:ascii="宋体" w:hAnsi="宋体"/>
          <w:color w:val="000000"/>
          <w:szCs w:val="21"/>
        </w:rPr>
        <w:t>劳动工资抽样调查的目标：抽样调查推算数据与全面调查数据合并后，</w:t>
      </w:r>
      <w:r>
        <w:rPr>
          <w:rFonts w:ascii="宋体" w:hAnsi="宋体"/>
          <w:color w:val="000000"/>
          <w:szCs w:val="21"/>
        </w:rPr>
        <w:t>年度数据满足各省</w:t>
      </w:r>
      <w:r>
        <w:rPr>
          <w:rFonts w:hint="eastAsia" w:ascii="宋体" w:hAnsi="宋体"/>
          <w:color w:val="000000"/>
          <w:szCs w:val="21"/>
        </w:rPr>
        <w:t>分执行</w:t>
      </w:r>
      <w:r>
        <w:rPr>
          <w:rFonts w:ascii="宋体" w:hAnsi="宋体"/>
          <w:color w:val="000000"/>
          <w:szCs w:val="21"/>
        </w:rPr>
        <w:t>会计标准类别</w:t>
      </w:r>
      <w:r>
        <w:rPr>
          <w:rFonts w:hint="eastAsia" w:ascii="宋体" w:hAnsi="宋体"/>
          <w:color w:val="000000"/>
          <w:szCs w:val="21"/>
        </w:rPr>
        <w:t>、</w:t>
      </w:r>
      <w:r>
        <w:rPr>
          <w:rFonts w:ascii="宋体" w:hAnsi="宋体"/>
          <w:color w:val="000000"/>
          <w:szCs w:val="21"/>
        </w:rPr>
        <w:t>登记注册类型</w:t>
      </w:r>
      <w:r>
        <w:rPr>
          <w:rFonts w:hint="eastAsia" w:ascii="宋体" w:hAnsi="宋体"/>
          <w:color w:val="000000"/>
          <w:szCs w:val="21"/>
        </w:rPr>
        <w:t>、</w:t>
      </w:r>
      <w:r>
        <w:rPr>
          <w:rFonts w:ascii="宋体" w:hAnsi="宋体"/>
          <w:color w:val="000000"/>
          <w:szCs w:val="21"/>
        </w:rPr>
        <w:t>行业</w:t>
      </w:r>
      <w:r>
        <w:rPr>
          <w:rFonts w:hint="eastAsia" w:ascii="宋体" w:hAnsi="宋体"/>
          <w:color w:val="000000"/>
          <w:szCs w:val="21"/>
        </w:rPr>
        <w:t>大</w:t>
      </w:r>
      <w:r>
        <w:rPr>
          <w:rFonts w:ascii="宋体" w:hAnsi="宋体"/>
          <w:color w:val="000000"/>
          <w:szCs w:val="21"/>
        </w:rPr>
        <w:t>类</w:t>
      </w:r>
      <w:r>
        <w:rPr>
          <w:rFonts w:hint="eastAsia" w:ascii="宋体" w:hAnsi="宋体"/>
          <w:color w:val="000000"/>
          <w:szCs w:val="21"/>
        </w:rPr>
        <w:t>的</w:t>
      </w:r>
      <w:r>
        <w:rPr>
          <w:rFonts w:ascii="宋体" w:hAnsi="宋体"/>
          <w:color w:val="000000"/>
          <w:szCs w:val="21"/>
        </w:rPr>
        <w:t>代表性</w:t>
      </w:r>
      <w:r>
        <w:rPr>
          <w:rFonts w:hint="eastAsia" w:ascii="宋体" w:hAnsi="宋体"/>
          <w:color w:val="000000"/>
          <w:szCs w:val="21"/>
        </w:rPr>
        <w:t>，各地市分行业门类的代表性；季度</w:t>
      </w:r>
      <w:r>
        <w:rPr>
          <w:rFonts w:ascii="宋体" w:hAnsi="宋体"/>
          <w:color w:val="000000"/>
          <w:szCs w:val="21"/>
        </w:rPr>
        <w:t>数据</w:t>
      </w:r>
      <w:r>
        <w:rPr>
          <w:rFonts w:hint="eastAsia" w:ascii="宋体" w:hAnsi="宋体"/>
          <w:color w:val="000000"/>
          <w:szCs w:val="21"/>
        </w:rPr>
        <w:t>满足全国分行业门类指标的代表性。</w:t>
      </w:r>
    </w:p>
    <w:p>
      <w:pPr>
        <w:spacing w:line="480" w:lineRule="exact"/>
        <w:ind w:firstLine="420" w:firstLineChars="200"/>
        <w:outlineLvl w:val="9"/>
        <w:rPr>
          <w:rFonts w:ascii="黑体" w:hAnsi="黑体" w:eastAsia="黑体"/>
          <w:color w:val="000000"/>
          <w:szCs w:val="21"/>
        </w:rPr>
      </w:pPr>
      <w:bookmarkStart w:id="141" w:name="_Toc1877630347"/>
      <w:bookmarkStart w:id="142" w:name="_Toc333851508"/>
      <w:bookmarkStart w:id="143" w:name="_Toc837895804"/>
      <w:bookmarkStart w:id="144" w:name="_Toc779962562"/>
      <w:bookmarkStart w:id="145" w:name="_Toc1479013535"/>
      <w:bookmarkStart w:id="146" w:name="_Toc595356292"/>
      <w:bookmarkStart w:id="147" w:name="_Toc483342030"/>
      <w:r>
        <w:rPr>
          <w:rFonts w:hint="eastAsia" w:ascii="黑体" w:hAnsi="黑体" w:eastAsia="黑体"/>
          <w:color w:val="000000"/>
          <w:szCs w:val="21"/>
        </w:rPr>
        <w:t>二、总体与抽样框</w:t>
      </w:r>
      <w:bookmarkEnd w:id="141"/>
      <w:bookmarkEnd w:id="142"/>
      <w:bookmarkEnd w:id="143"/>
      <w:bookmarkEnd w:id="144"/>
      <w:bookmarkEnd w:id="145"/>
      <w:bookmarkEnd w:id="146"/>
      <w:bookmarkEnd w:id="147"/>
    </w:p>
    <w:p>
      <w:pPr>
        <w:spacing w:line="480" w:lineRule="exact"/>
        <w:ind w:firstLine="396" w:firstLineChars="200"/>
        <w:rPr>
          <w:rFonts w:ascii="宋体" w:hAnsi="宋体"/>
          <w:color w:val="000000"/>
          <w:szCs w:val="21"/>
        </w:rPr>
      </w:pPr>
      <w:r>
        <w:rPr>
          <w:rFonts w:hint="eastAsia" w:ascii="宋体" w:hAnsi="宋体"/>
          <w:color w:val="000000"/>
          <w:spacing w:val="-6"/>
          <w:szCs w:val="21"/>
        </w:rPr>
        <w:t>总体为各省、自治区、直辖市的法人单位。以基本单位名录库为基础，剔除一些不适合作为工资统计对象的法人单位</w:t>
      </w:r>
      <w:r>
        <w:rPr>
          <w:rFonts w:hint="eastAsia" w:ascii="宋体"/>
          <w:color w:val="000000"/>
          <w:spacing w:val="-6"/>
          <w:szCs w:val="21"/>
        </w:rPr>
        <w:t>，如一</w:t>
      </w:r>
      <w:r>
        <w:rPr>
          <w:rFonts w:ascii="宋体"/>
          <w:color w:val="000000"/>
          <w:spacing w:val="-6"/>
          <w:szCs w:val="21"/>
        </w:rPr>
        <w:t>套人马多块牌子</w:t>
      </w:r>
      <w:r>
        <w:rPr>
          <w:rFonts w:hint="eastAsia" w:ascii="宋体"/>
          <w:color w:val="000000"/>
          <w:spacing w:val="-6"/>
          <w:szCs w:val="21"/>
        </w:rPr>
        <w:t>、</w:t>
      </w:r>
      <w:r>
        <w:rPr>
          <w:rFonts w:ascii="宋体"/>
          <w:color w:val="000000"/>
          <w:spacing w:val="-6"/>
          <w:szCs w:val="21"/>
        </w:rPr>
        <w:t>寺庙</w:t>
      </w:r>
      <w:r>
        <w:rPr>
          <w:rFonts w:hint="eastAsia" w:ascii="宋体"/>
          <w:color w:val="000000"/>
          <w:spacing w:val="-6"/>
          <w:szCs w:val="21"/>
        </w:rPr>
        <w:t>、</w:t>
      </w:r>
      <w:r>
        <w:rPr>
          <w:rFonts w:ascii="宋体"/>
          <w:color w:val="000000"/>
          <w:spacing w:val="-6"/>
          <w:szCs w:val="21"/>
        </w:rPr>
        <w:t>宗教场所</w:t>
      </w:r>
      <w:r>
        <w:rPr>
          <w:rFonts w:hint="eastAsia" w:ascii="宋体"/>
          <w:color w:val="000000"/>
          <w:spacing w:val="-6"/>
          <w:szCs w:val="21"/>
        </w:rPr>
        <w:t>、协会、学会</w:t>
      </w:r>
      <w:r>
        <w:rPr>
          <w:rFonts w:ascii="宋体"/>
          <w:color w:val="000000"/>
          <w:spacing w:val="-6"/>
          <w:szCs w:val="21"/>
        </w:rPr>
        <w:t>、农民专业合作社</w:t>
      </w:r>
      <w:r>
        <w:rPr>
          <w:rFonts w:hint="eastAsia" w:ascii="宋体"/>
          <w:color w:val="000000"/>
          <w:spacing w:val="-6"/>
          <w:szCs w:val="21"/>
        </w:rPr>
        <w:t>等</w:t>
      </w:r>
      <w:r>
        <w:rPr>
          <w:rFonts w:ascii="宋体"/>
          <w:color w:val="000000"/>
          <w:spacing w:val="-6"/>
          <w:szCs w:val="21"/>
        </w:rPr>
        <w:t>只有</w:t>
      </w:r>
      <w:r>
        <w:rPr>
          <w:rFonts w:hint="eastAsia" w:ascii="宋体"/>
          <w:color w:val="000000"/>
          <w:spacing w:val="-6"/>
          <w:szCs w:val="21"/>
        </w:rPr>
        <w:t>兼职</w:t>
      </w:r>
      <w:r>
        <w:rPr>
          <w:rFonts w:ascii="宋体"/>
          <w:color w:val="000000"/>
          <w:spacing w:val="-6"/>
          <w:szCs w:val="21"/>
        </w:rPr>
        <w:t>人员没有工资发放</w:t>
      </w:r>
      <w:r>
        <w:rPr>
          <w:rFonts w:hint="eastAsia" w:ascii="宋体"/>
          <w:color w:val="000000"/>
          <w:spacing w:val="-6"/>
          <w:szCs w:val="21"/>
        </w:rPr>
        <w:t>的</w:t>
      </w:r>
      <w:r>
        <w:rPr>
          <w:rFonts w:ascii="宋体"/>
          <w:color w:val="000000"/>
          <w:spacing w:val="-6"/>
          <w:szCs w:val="21"/>
        </w:rPr>
        <w:t>单位</w:t>
      </w:r>
      <w:r>
        <w:rPr>
          <w:rFonts w:hint="eastAsia" w:ascii="宋体"/>
          <w:color w:val="000000"/>
          <w:spacing w:val="-6"/>
          <w:szCs w:val="21"/>
        </w:rPr>
        <w:t>、</w:t>
      </w:r>
      <w:r>
        <w:rPr>
          <w:rFonts w:hint="eastAsia" w:ascii="宋体" w:hAnsi="宋体"/>
          <w:color w:val="000000"/>
          <w:spacing w:val="-6"/>
          <w:szCs w:val="21"/>
        </w:rPr>
        <w:t>从业人员规模在5人以下的单位；同时，年度剔除一套表和机关、事业法人单位，季度剔除机关、事业法人单位，确定抽样框</w:t>
      </w:r>
      <w:r>
        <w:rPr>
          <w:rFonts w:hint="eastAsia" w:ascii="宋体" w:hAnsi="宋体"/>
          <w:color w:val="000000"/>
          <w:szCs w:val="21"/>
        </w:rPr>
        <w:t>。</w:t>
      </w:r>
    </w:p>
    <w:p>
      <w:pPr>
        <w:spacing w:line="480" w:lineRule="exact"/>
        <w:ind w:firstLine="420" w:firstLineChars="200"/>
        <w:outlineLvl w:val="9"/>
        <w:rPr>
          <w:rFonts w:ascii="黑体" w:hAnsi="黑体" w:eastAsia="黑体"/>
          <w:color w:val="000000"/>
          <w:szCs w:val="21"/>
        </w:rPr>
      </w:pPr>
      <w:bookmarkStart w:id="148" w:name="_Toc1196287179"/>
      <w:bookmarkStart w:id="149" w:name="_Toc1830803738"/>
      <w:bookmarkStart w:id="150" w:name="_Toc618779184"/>
      <w:bookmarkStart w:id="151" w:name="_Toc55965390"/>
      <w:bookmarkStart w:id="152" w:name="_Toc2126033842"/>
      <w:bookmarkStart w:id="153" w:name="_Toc749228621"/>
      <w:bookmarkStart w:id="154" w:name="_Toc1693310503"/>
      <w:r>
        <w:rPr>
          <w:rFonts w:hint="eastAsia" w:ascii="黑体" w:hAnsi="黑体" w:eastAsia="黑体"/>
          <w:color w:val="000000"/>
          <w:szCs w:val="21"/>
        </w:rPr>
        <w:t>三、分层</w:t>
      </w:r>
      <w:bookmarkEnd w:id="148"/>
      <w:bookmarkEnd w:id="149"/>
      <w:bookmarkEnd w:id="150"/>
      <w:bookmarkEnd w:id="151"/>
      <w:bookmarkEnd w:id="152"/>
      <w:bookmarkEnd w:id="153"/>
      <w:bookmarkEnd w:id="154"/>
    </w:p>
    <w:p>
      <w:pPr>
        <w:spacing w:line="480" w:lineRule="atLeast"/>
        <w:ind w:firstLine="420" w:firstLineChars="200"/>
        <w:outlineLvl w:val="9"/>
        <w:rPr>
          <w:rFonts w:ascii="宋体" w:hAnsi="宋体"/>
          <w:color w:val="000000"/>
          <w:szCs w:val="21"/>
        </w:rPr>
      </w:pPr>
      <w:bookmarkStart w:id="155" w:name="_Toc544888975"/>
      <w:bookmarkStart w:id="156" w:name="_Toc1841359967"/>
      <w:bookmarkStart w:id="157" w:name="_Toc1403352519"/>
      <w:bookmarkStart w:id="158" w:name="_Toc1874752319"/>
      <w:bookmarkStart w:id="159" w:name="_Toc34982572"/>
      <w:bookmarkStart w:id="160" w:name="_Toc870607675"/>
      <w:bookmarkStart w:id="161" w:name="_Toc319624805"/>
      <w:r>
        <w:rPr>
          <w:rFonts w:hint="eastAsia" w:ascii="宋体" w:hAnsi="宋体"/>
          <w:color w:val="000000"/>
          <w:szCs w:val="21"/>
        </w:rPr>
        <w:t>1.确定</w:t>
      </w:r>
      <w:r>
        <w:rPr>
          <w:rFonts w:ascii="宋体" w:hAnsi="宋体"/>
          <w:color w:val="000000"/>
          <w:szCs w:val="21"/>
        </w:rPr>
        <w:t>子总体</w:t>
      </w:r>
      <w:bookmarkEnd w:id="155"/>
      <w:bookmarkEnd w:id="156"/>
      <w:bookmarkEnd w:id="157"/>
      <w:bookmarkEnd w:id="158"/>
      <w:bookmarkEnd w:id="159"/>
      <w:bookmarkEnd w:id="160"/>
      <w:bookmarkEnd w:id="161"/>
    </w:p>
    <w:p>
      <w:pPr>
        <w:spacing w:line="480" w:lineRule="atLeast"/>
        <w:ind w:firstLine="420" w:firstLineChars="200"/>
        <w:rPr>
          <w:rFonts w:ascii="宋体" w:hAnsi="宋体"/>
          <w:color w:val="000000"/>
          <w:szCs w:val="21"/>
        </w:rPr>
      </w:pPr>
      <w:r>
        <w:rPr>
          <w:rFonts w:hint="eastAsia" w:ascii="宋体" w:hAnsi="宋体"/>
          <w:color w:val="000000"/>
          <w:szCs w:val="21"/>
        </w:rPr>
        <w:t>年度和季度分别按调查目的</w:t>
      </w:r>
      <w:r>
        <w:rPr>
          <w:rFonts w:ascii="宋体" w:hAnsi="宋体"/>
          <w:color w:val="000000"/>
          <w:szCs w:val="21"/>
        </w:rPr>
        <w:t>确定</w:t>
      </w:r>
      <w:r>
        <w:rPr>
          <w:rFonts w:hint="eastAsia" w:ascii="宋体" w:hAnsi="宋体"/>
          <w:color w:val="000000"/>
          <w:szCs w:val="21"/>
        </w:rPr>
        <w:t>子总体。</w:t>
      </w:r>
    </w:p>
    <w:p>
      <w:pPr>
        <w:spacing w:line="480" w:lineRule="atLeast"/>
        <w:ind w:firstLine="420" w:firstLineChars="200"/>
        <w:outlineLvl w:val="9"/>
        <w:rPr>
          <w:rFonts w:ascii="宋体" w:hAnsi="宋体"/>
          <w:color w:val="000000"/>
          <w:szCs w:val="21"/>
        </w:rPr>
      </w:pPr>
      <w:bookmarkStart w:id="162" w:name="_Toc972236084"/>
      <w:bookmarkStart w:id="163" w:name="_Toc1763941025"/>
      <w:bookmarkStart w:id="164" w:name="_Toc1455578114"/>
      <w:bookmarkStart w:id="165" w:name="_Toc411403724"/>
      <w:bookmarkStart w:id="166" w:name="_Toc1685266639"/>
      <w:bookmarkStart w:id="167" w:name="_Toc618423040"/>
      <w:bookmarkStart w:id="168" w:name="_Toc1125769116"/>
      <w:r>
        <w:rPr>
          <w:rFonts w:hint="eastAsia" w:ascii="宋体" w:hAnsi="宋体"/>
          <w:color w:val="000000"/>
          <w:szCs w:val="21"/>
        </w:rPr>
        <w:t>2.划分</w:t>
      </w:r>
      <w:r>
        <w:rPr>
          <w:rFonts w:ascii="宋体" w:hAnsi="宋体"/>
          <w:color w:val="000000"/>
          <w:szCs w:val="21"/>
        </w:rPr>
        <w:t>规模层</w:t>
      </w:r>
      <w:bookmarkEnd w:id="162"/>
      <w:bookmarkEnd w:id="163"/>
      <w:bookmarkEnd w:id="164"/>
      <w:bookmarkEnd w:id="165"/>
      <w:bookmarkEnd w:id="166"/>
      <w:bookmarkEnd w:id="167"/>
      <w:bookmarkEnd w:id="168"/>
    </w:p>
    <w:p>
      <w:pPr>
        <w:spacing w:line="480" w:lineRule="atLeast"/>
        <w:ind w:firstLine="436" w:firstLineChars="200"/>
        <w:rPr>
          <w:rFonts w:ascii="宋体" w:hAnsi="宋体"/>
          <w:color w:val="000000"/>
          <w:spacing w:val="4"/>
          <w:szCs w:val="21"/>
        </w:rPr>
      </w:pPr>
      <w:r>
        <w:rPr>
          <w:rFonts w:hint="eastAsia" w:ascii="宋体" w:hAnsi="宋体"/>
          <w:color w:val="000000"/>
          <w:spacing w:val="4"/>
          <w:szCs w:val="21"/>
        </w:rPr>
        <w:t>在各子总体内按从业</w:t>
      </w:r>
      <w:r>
        <w:rPr>
          <w:rFonts w:ascii="宋体" w:hAnsi="宋体"/>
          <w:color w:val="000000"/>
          <w:spacing w:val="4"/>
          <w:szCs w:val="21"/>
        </w:rPr>
        <w:t>人员期末人数排序</w:t>
      </w:r>
      <w:r>
        <w:rPr>
          <w:rFonts w:hint="eastAsia" w:ascii="宋体" w:hAnsi="宋体"/>
          <w:color w:val="000000"/>
          <w:spacing w:val="4"/>
          <w:szCs w:val="21"/>
        </w:rPr>
        <w:t>，将一定人数以上的大单位确定为必抽层，其余单位采用累计平方根法划分为若干规模层。</w:t>
      </w:r>
    </w:p>
    <w:p>
      <w:pPr>
        <w:spacing w:line="480" w:lineRule="exact"/>
        <w:ind w:firstLine="420" w:firstLineChars="200"/>
        <w:outlineLvl w:val="9"/>
        <w:rPr>
          <w:rFonts w:ascii="黑体" w:hAnsi="黑体" w:eastAsia="黑体"/>
          <w:color w:val="000000"/>
          <w:szCs w:val="21"/>
        </w:rPr>
      </w:pPr>
      <w:bookmarkStart w:id="169" w:name="_Toc503742873"/>
      <w:bookmarkStart w:id="170" w:name="_Toc1268814559"/>
      <w:bookmarkStart w:id="171" w:name="_Toc251574133"/>
      <w:bookmarkStart w:id="172" w:name="_Toc1585494469"/>
      <w:bookmarkStart w:id="173" w:name="_Toc512184293"/>
      <w:bookmarkStart w:id="174" w:name="_Toc1780419577"/>
      <w:bookmarkStart w:id="175" w:name="_Toc256577330"/>
      <w:r>
        <w:rPr>
          <w:rFonts w:hint="eastAsia" w:ascii="黑体" w:hAnsi="黑体" w:eastAsia="黑体"/>
          <w:color w:val="000000"/>
          <w:szCs w:val="21"/>
        </w:rPr>
        <w:t>四</w:t>
      </w:r>
      <w:r>
        <w:rPr>
          <w:rFonts w:ascii="黑体" w:hAnsi="黑体" w:eastAsia="黑体"/>
          <w:color w:val="000000"/>
          <w:szCs w:val="21"/>
        </w:rPr>
        <w:t>、确定样本量及在各层中的分配</w:t>
      </w:r>
      <w:bookmarkEnd w:id="169"/>
      <w:bookmarkEnd w:id="170"/>
      <w:bookmarkEnd w:id="171"/>
      <w:bookmarkEnd w:id="172"/>
      <w:bookmarkEnd w:id="173"/>
      <w:bookmarkEnd w:id="174"/>
      <w:bookmarkEnd w:id="175"/>
    </w:p>
    <w:p>
      <w:pPr>
        <w:spacing w:line="480" w:lineRule="atLeast"/>
        <w:ind w:firstLine="436" w:firstLineChars="200"/>
        <w:outlineLvl w:val="9"/>
        <w:rPr>
          <w:rFonts w:ascii="宋体" w:hAnsi="宋体"/>
          <w:color w:val="000000"/>
          <w:spacing w:val="4"/>
          <w:szCs w:val="21"/>
        </w:rPr>
      </w:pPr>
      <w:bookmarkStart w:id="176" w:name="_Toc905504418"/>
      <w:bookmarkStart w:id="177" w:name="_Toc516298472"/>
      <w:bookmarkStart w:id="178" w:name="_Toc1375625231"/>
      <w:bookmarkStart w:id="179" w:name="_Toc2104791302"/>
      <w:bookmarkStart w:id="180" w:name="_Toc170038730"/>
      <w:bookmarkStart w:id="181" w:name="_Toc2136460696"/>
      <w:bookmarkStart w:id="182" w:name="_Toc196673667"/>
      <w:r>
        <w:rPr>
          <w:rFonts w:hint="eastAsia" w:ascii="宋体" w:hAnsi="宋体"/>
          <w:color w:val="000000"/>
          <w:spacing w:val="4"/>
          <w:szCs w:val="21"/>
        </w:rPr>
        <w:t>1.确定</w:t>
      </w:r>
      <w:r>
        <w:rPr>
          <w:rFonts w:ascii="宋体" w:hAnsi="宋体"/>
          <w:color w:val="000000"/>
          <w:spacing w:val="4"/>
          <w:szCs w:val="21"/>
        </w:rPr>
        <w:t>样本量</w:t>
      </w:r>
      <w:bookmarkEnd w:id="176"/>
      <w:bookmarkEnd w:id="177"/>
      <w:bookmarkEnd w:id="178"/>
      <w:bookmarkEnd w:id="179"/>
      <w:bookmarkEnd w:id="180"/>
      <w:bookmarkEnd w:id="181"/>
      <w:bookmarkEnd w:id="182"/>
    </w:p>
    <w:p>
      <w:pPr>
        <w:spacing w:line="480" w:lineRule="atLeast"/>
        <w:ind w:firstLine="436" w:firstLineChars="200"/>
        <w:rPr>
          <w:rFonts w:ascii="宋体" w:hAnsi="宋体"/>
          <w:color w:val="000000"/>
          <w:spacing w:val="4"/>
          <w:szCs w:val="21"/>
        </w:rPr>
      </w:pPr>
      <w:r>
        <w:rPr>
          <w:rFonts w:hint="eastAsia" w:ascii="宋体" w:hAnsi="宋体"/>
          <w:color w:val="000000"/>
          <w:spacing w:val="4"/>
          <w:szCs w:val="21"/>
        </w:rPr>
        <w:t>通过以下公式计算各</w:t>
      </w:r>
      <w:r>
        <w:rPr>
          <w:rFonts w:ascii="宋体" w:hAnsi="宋体"/>
          <w:color w:val="000000"/>
          <w:spacing w:val="4"/>
          <w:szCs w:val="21"/>
        </w:rPr>
        <w:t>子总体</w:t>
      </w:r>
      <w:r>
        <w:rPr>
          <w:rFonts w:hint="eastAsia" w:ascii="宋体" w:hAnsi="宋体"/>
          <w:color w:val="000000"/>
          <w:spacing w:val="4"/>
          <w:szCs w:val="21"/>
        </w:rPr>
        <w:t>所需样本量：</w:t>
      </w:r>
    </w:p>
    <w:p>
      <w:pPr>
        <w:spacing w:line="480" w:lineRule="atLeast"/>
        <w:ind w:firstLine="420" w:firstLineChars="200"/>
        <w:rPr>
          <w:rFonts w:ascii="宋体" w:hAnsi="宋体"/>
          <w:color w:val="000000"/>
          <w:szCs w:val="21"/>
        </w:rPr>
      </w:pPr>
      <w:r>
        <w:rPr>
          <w:position w:val="-70"/>
        </w:rPr>
        <w:object>
          <v:shape id="_x0000_i1025" o:spt="75" type="#_x0000_t75" style="height:57pt;width:225.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26" o:spt="75" type="#_x0000_t75" style="height:18.75pt;width:80.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93041&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393041&quot; wsp:rsidP=&quot;00393041&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W&lt;/m:t&gt;&lt;/m:r&gt;&lt;/m:e&gt;&lt;m:sub&gt;&lt;m:r&gt;&lt;w:rPr&gt;&lt;w:rFonts w:ascii=&quot;Cambria Math&quot; w:fareast=&quot;仿宋_GB2312&quot; w:h-ansi=&quot;Cambria Math&quot;/&gt;&lt;wx:font wx:val=&quot;Cambria Math&quot;/&gt;&lt;w:i/&gt;&lt;w:sz w:val=&quot;32&quot;/&gt;&lt;w:sz-cs w:val=&quot;32&quot;/&gt;&lt;/w:rPr&gt;&lt;m:t&gt;h&lt;/m:t&gt;&lt;/m:r&gt;&lt;/m:subod&gt;&lt;/mod:sSuodb&gt;&lt;mod:r&gt;&lt;odm:rPr&gt;y&gt;&lt;m:sty m:val=&quot;p&quot;/&gt;&lt;/m:rPr&gt;&lt;w:rPr&gt;&lt;w:rFonts w:ascii=&quot;Cambria Math&quot; w:fareast=&quot;仿宋_GB2312&quot; w:h-ansi=&quot;Cambria Math&quot;/&gt;&lt;wx:font wx:val=&quot;Cambria Math&quot;/&gt;&lt;w:sz w:val=&quot;32&quot;/&gt;&lt;w:sz-cs w:val=&quot;32&quot;/&gt;&lt;/w:rPr&gt;&lt;m:t&gt;=&lt;/m:t&gt;&lt;/m:r&gt;&lt;m:sSub&gt;&lt;m:odsSubProd&gt;&lt;m:ctodrlPr&gt;&lt;odw:rPr&gt;od&lt;w:rFonty&gt;s w:ascii=&quot;Cambria Math&quot; w:fareast=&quot;仿宋_GB2312&quot; w:h-ansi=&quot;Cambria Math&quot;/&gt;&lt;wx:font wx:val=&quot;Cambria Math&quot;/&gt;&lt;w:sz w:val=&quot;32&quot;/&gt;&lt;w:sz-cs w:val=&quot;32&quot;/&gt;&lt;/w:rPr&gt;&lt;/m:ctrlPr&gt;&lt;/m:sSubPr&gt;&lt;m:e&gt;&lt;m:r&gt;&lt;w:rPr&gt;&lt;w:rFonts w:ascii=&quot;Caodmbria Maodth&quot; w:faodreast=&quot;?od滤蝊GB23r&gt;od12&quot; w:h-annty&gt;si=&quot;Cambria Math&quot;/&gt;&lt;wx:font wx:val=&quot;Cambria Math&quot;/&gt;&lt;w:i/&gt;&lt;w:sz w:val=&quot;32&quot;/&gt;&lt;w:sz-cs w:val=&quot;32&quot;/&gt;&lt;/w:rPr&gt;&lt;m:t&gt;N&lt;/m:t&gt;&lt;/m:r&gt;&lt;/m:e&gt;&lt;m:sub&gt;&lt;m:r&gt;&lt;w:rPr&gt;&lt;w:rFonts w:ascii=&quot;Cambria Math&quot; w:fareast=&quot;仿宋_GB2Caod312&quot; w:h-aMaodnsi=&quot;Cambrfaodia Math&quot;/&gt;&quot;?od&lt;wx:font wx:odval=&quot;Cambria My&gt;ath&quot;/&gt;&lt;w:i/&gt;&lt;w:sz w:val=&quot;32&quot;/&gt;&lt;w:sz-cs w:val=&quot;32&quot;/&gt;&lt;/w:rPr&gt;&lt;m:t&gt;h&lt;/m:t&gt;&lt;/m:r&gt;&lt;/m:sub&gt;&lt;/m:sSub&gt;&lt;m:r&gt;&lt;m:rPr&gt;&lt;m:sty m:val=&quot;p&quot;/&gt;&lt;/m:rPr&gt;&lt;w:rPr&gt;&lt;w:rFonts w:ascii=&quot;Cambria Math&quot; w:fareast=&quot;仿宋_GB2312&quot; wod:h-ansi=&quot;Cambrodia Math&quot;/&gt;&lt;wx:odfont wx:val=&quot;Codambria Math&quot;/&gt;&lt;wy&gt;:sz w:val=&quot;32&quot;/&gt;&lt;w:sz-cs w:val=&quot;32&quot;/&gt;&lt;/w:rPr&gt;&lt;m:t&gt;/&lt;/m:t&gt;&lt;/m:r&gt;&lt;m:r&gt;&lt;w:rPr&gt;&lt;w:rFonts w:ascii=&quot;Cambria Math&quot; w:fareast=&quot;仿宋_GB2312&quot; w:h-ansi=&quot;Cambria Math&quot;/&gt;&lt;wx:font wx:val=st=&quot;&quot;Cambria Math&quot;/&gt;od&lt;w:i/&gt;&lt;w:sz w:vaodl=&quot;32&quot;/&gt;&lt;w:sz-csod w:val=&quot;32&quot;/&gt;&lt;/wod:rPr&gt;&lt;m:t&gt;N&lt;/m:t&gt;&lt;y&g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为总体元素总数，</w:t>
      </w:r>
      <w:r>
        <w:rPr>
          <w:i/>
          <w:color w:val="000000"/>
          <w:szCs w:val="21"/>
        </w:rPr>
        <w:t>N</w:t>
      </w:r>
      <w:r>
        <w:rPr>
          <w:i/>
          <w:color w:val="000000"/>
          <w:szCs w:val="21"/>
          <w:vertAlign w:val="subscript"/>
        </w:rPr>
        <w:t>h</w:t>
      </w:r>
      <w:r>
        <w:rPr>
          <w:rFonts w:hint="eastAsia" w:ascii="宋体" w:hAnsi="宋体"/>
          <w:color w:val="000000"/>
          <w:szCs w:val="21"/>
        </w:rPr>
        <w:t>为第</w:t>
      </w:r>
      <w:r>
        <w:rPr>
          <w:i/>
          <w:color w:val="000000"/>
          <w:szCs w:val="21"/>
        </w:rPr>
        <w:t>h</w:t>
      </w:r>
      <w:r>
        <w:rPr>
          <w:rFonts w:hint="eastAsia" w:ascii="宋体" w:hAnsi="宋体"/>
          <w:color w:val="000000"/>
          <w:szCs w:val="21"/>
        </w:rPr>
        <w:t>层的元素个数，</w:t>
      </w:r>
      <w:r>
        <w:rPr>
          <w:i/>
          <w:color w:val="000000"/>
          <w:szCs w:val="21"/>
        </w:rPr>
        <w:t>S</w:t>
      </w:r>
      <w:r>
        <w:rPr>
          <w:i/>
          <w:color w:val="000000"/>
          <w:szCs w:val="21"/>
          <w:vertAlign w:val="subscript"/>
        </w:rPr>
        <w:t>h</w:t>
      </w:r>
      <w:r>
        <w:rPr>
          <w:rFonts w:hint="eastAsia" w:ascii="宋体" w:hAnsi="宋体"/>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27" o:spt="75" type="#_x0000_t75" style="height:18.75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4243F&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4243F&quot; wsp:rsidP=&quot;0064243F&quot;&gt;&lt;m:oMathPara&gt;&lt;m:oMath&gt;&lt;m:r&gt;&lt;w:rPr&gt;&lt;w:rFonts w:ascii=&quot;Cambria Math&quot; w:fareast=&quot;仿宋_GB2312&quot; w:h-ansi=&quot;Cambria Math&quot;/&gt;&lt;wx:font wx:val=&quot;Cambria Math&quot;/&gt;&lt;w:i/&gt;&lt;w:sz w:val=&quot;32odod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层的标准差，</w:t>
      </w:r>
      <w:r>
        <w:rPr>
          <w:position w:val="-4"/>
        </w:rPr>
        <w:object>
          <v:shape id="_x0000_i1028" o:spt="75" type="#_x0000_t75" style="height:15pt;width:14.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6" r:id="rId11">
            <o:LockedField>false</o:LockedField>
          </o:OLEObject>
        </w:object>
      </w:r>
      <w:r>
        <w:rPr>
          <w:rFonts w:hint="eastAsia" w:ascii="宋体" w:hAnsi="宋体"/>
          <w:color w:val="000000"/>
          <w:szCs w:val="21"/>
        </w:rPr>
        <w:t>为总体均值，</w:t>
      </w:r>
      <w:r>
        <w:rPr>
          <w:i/>
          <w:color w:val="000000"/>
          <w:szCs w:val="21"/>
        </w:rPr>
        <w:t>t</w:t>
      </w:r>
      <w:r>
        <w:rPr>
          <w:rFonts w:hAnsi="宋体"/>
          <w:color w:val="000000"/>
          <w:szCs w:val="21"/>
        </w:rPr>
        <w:t>为给定置信度对应的</w:t>
      </w:r>
      <w:r>
        <w:rPr>
          <w:i/>
          <w:color w:val="000000"/>
          <w:szCs w:val="21"/>
        </w:rPr>
        <w:t>t</w:t>
      </w:r>
      <w:r>
        <w:rPr>
          <w:rFonts w:hAnsi="宋体"/>
          <w:color w:val="000000"/>
          <w:szCs w:val="21"/>
        </w:rPr>
        <w:t>值，</w:t>
      </w:r>
      <w:r>
        <w:rPr>
          <w:i/>
          <w:color w:val="000000"/>
          <w:szCs w:val="21"/>
        </w:rPr>
        <w:t>w</w:t>
      </w:r>
      <w:r>
        <w:rPr>
          <w:rFonts w:hint="eastAsia" w:ascii="宋体" w:hAnsi="宋体"/>
          <w:color w:val="000000"/>
          <w:szCs w:val="21"/>
        </w:rPr>
        <w:t>为最大相对误差。</w:t>
      </w:r>
    </w:p>
    <w:p>
      <w:pPr>
        <w:spacing w:line="480" w:lineRule="atLeast"/>
        <w:ind w:firstLine="422" w:firstLineChars="200"/>
        <w:rPr>
          <w:rFonts w:ascii="宋体" w:hAnsi="宋体"/>
          <w:b/>
          <w:color w:val="000000"/>
          <w:szCs w:val="21"/>
        </w:rPr>
      </w:pPr>
      <w:r>
        <w:rPr>
          <w:rFonts w:hint="eastAsia" w:ascii="宋体" w:hAnsi="宋体"/>
          <w:b/>
          <w:color w:val="000000"/>
          <w:szCs w:val="21"/>
        </w:rPr>
        <w:t>综合考虑抽样的设计效应、消亡单位</w:t>
      </w:r>
      <w:r>
        <w:rPr>
          <w:rFonts w:ascii="宋体" w:hAnsi="宋体"/>
          <w:b/>
          <w:color w:val="000000"/>
          <w:szCs w:val="21"/>
        </w:rPr>
        <w:t>比例、</w:t>
      </w:r>
      <w:r>
        <w:rPr>
          <w:rFonts w:hint="eastAsia" w:ascii="宋体" w:hAnsi="宋体"/>
          <w:b/>
          <w:color w:val="000000"/>
          <w:szCs w:val="21"/>
        </w:rPr>
        <w:t>无回答情况等对</w:t>
      </w:r>
      <w:r>
        <w:rPr>
          <w:rFonts w:ascii="宋体" w:hAnsi="宋体"/>
          <w:b/>
          <w:color w:val="000000"/>
          <w:szCs w:val="21"/>
        </w:rPr>
        <w:t>样本量</w:t>
      </w:r>
      <w:r>
        <w:rPr>
          <w:rFonts w:hint="eastAsia" w:ascii="宋体" w:hAnsi="宋体"/>
          <w:b/>
          <w:color w:val="000000"/>
          <w:szCs w:val="21"/>
        </w:rPr>
        <w:t>适当</w:t>
      </w:r>
      <w:r>
        <w:rPr>
          <w:rFonts w:ascii="宋体" w:hAnsi="宋体"/>
          <w:b/>
          <w:color w:val="000000"/>
          <w:szCs w:val="21"/>
        </w:rPr>
        <w:t>扩大</w:t>
      </w:r>
      <w:r>
        <w:rPr>
          <w:rFonts w:hint="eastAsia" w:ascii="宋体" w:hAnsi="宋体"/>
          <w:b/>
          <w:color w:val="000000"/>
          <w:szCs w:val="21"/>
        </w:rPr>
        <w:t>，</w:t>
      </w:r>
      <w:r>
        <w:rPr>
          <w:rFonts w:ascii="宋体" w:hAnsi="宋体"/>
          <w:b/>
          <w:color w:val="000000"/>
          <w:szCs w:val="21"/>
        </w:rPr>
        <w:t>确定</w:t>
      </w:r>
      <w:r>
        <w:rPr>
          <w:rFonts w:hint="eastAsia" w:ascii="宋体" w:hAnsi="宋体"/>
          <w:b/>
          <w:color w:val="000000"/>
          <w:szCs w:val="21"/>
        </w:rPr>
        <w:t>各子总体</w:t>
      </w:r>
      <w:r>
        <w:rPr>
          <w:rFonts w:ascii="宋体" w:hAnsi="宋体"/>
          <w:b/>
          <w:color w:val="000000"/>
          <w:szCs w:val="21"/>
        </w:rPr>
        <w:t>的最终样本量</w:t>
      </w:r>
      <w:r>
        <w:rPr>
          <w:rFonts w:hint="eastAsia" w:ascii="宋体" w:hAnsi="宋体"/>
          <w:b/>
          <w:color w:val="000000"/>
          <w:szCs w:val="21"/>
        </w:rPr>
        <w:t>。</w:t>
      </w:r>
    </w:p>
    <w:p>
      <w:pPr>
        <w:spacing w:line="480" w:lineRule="atLeast"/>
        <w:ind w:firstLine="420" w:firstLineChars="200"/>
        <w:outlineLvl w:val="9"/>
        <w:rPr>
          <w:rFonts w:ascii="宋体" w:hAnsi="宋体"/>
          <w:color w:val="000000"/>
          <w:szCs w:val="21"/>
        </w:rPr>
      </w:pPr>
      <w:bookmarkStart w:id="183" w:name="_Toc561125172"/>
      <w:bookmarkStart w:id="184" w:name="_Toc1591498408"/>
      <w:bookmarkStart w:id="185" w:name="_Toc1228595471"/>
      <w:bookmarkStart w:id="186" w:name="_Toc1920501004"/>
      <w:bookmarkStart w:id="187" w:name="_Toc285909074"/>
      <w:bookmarkStart w:id="188" w:name="_Toc2052581826"/>
      <w:bookmarkStart w:id="189" w:name="_Toc307009993"/>
      <w:r>
        <w:rPr>
          <w:rFonts w:ascii="宋体" w:hAnsi="宋体"/>
          <w:color w:val="000000"/>
          <w:szCs w:val="21"/>
        </w:rPr>
        <w:t>2.</w:t>
      </w:r>
      <w:r>
        <w:rPr>
          <w:rFonts w:hint="eastAsia" w:ascii="宋体" w:hAnsi="宋体"/>
          <w:color w:val="000000"/>
          <w:szCs w:val="21"/>
        </w:rPr>
        <w:t>样本量在各层的分配</w:t>
      </w:r>
      <w:bookmarkEnd w:id="183"/>
      <w:bookmarkEnd w:id="184"/>
      <w:bookmarkEnd w:id="185"/>
      <w:bookmarkEnd w:id="186"/>
      <w:bookmarkEnd w:id="187"/>
      <w:bookmarkEnd w:id="188"/>
      <w:bookmarkEnd w:id="189"/>
    </w:p>
    <w:p>
      <w:pPr>
        <w:spacing w:line="480" w:lineRule="atLeast"/>
        <w:ind w:firstLine="420" w:firstLineChars="200"/>
        <w:rPr>
          <w:rFonts w:ascii="宋体" w:hAnsi="宋体"/>
          <w:color w:val="000000"/>
          <w:szCs w:val="21"/>
        </w:rPr>
      </w:pPr>
      <w:r>
        <w:rPr>
          <w:rFonts w:hint="eastAsia" w:ascii="宋体" w:hAnsi="宋体"/>
          <w:color w:val="000000"/>
          <w:szCs w:val="21"/>
        </w:rPr>
        <w:t>通过内曼分配将样本量分配到各规模层，第h层的样本量</w:t>
      </w:r>
      <w:r>
        <w:rPr>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29" o:spt="75" type="#_x0000_t75" style="height:18.7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0F07&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950F07&quot; wsp:rsidP=&quot;00950F07&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m:rPr&gt;&lt;m:sty m:val=&quot;p&quot;/&gt;&lt;/m:rPr&gt;&lt;w:rPr&gt;&lt;w:rFonts w:ascii=&quot;Cambria Math&quot; w:fareast=&quot;仿宋_GB2312&quot; w:h-ansi=&quot;Cambria Math&quot;/&gt;&lt;wx:font wx:val=&quot;Cambria Math&quot;/&gt;&lt;w:sz w:vaodl=od&quot;3od2&quot;od/&gt;od&lt;w:sy&gt;z-cs w:val=&quot;32&quot;/&gt;&lt;/w:rPr&gt;&lt;m:t&gt;n&lt;/m:t&gt;&lt;/m:r&gt;&lt;/m:e&gt;&lt;m:sub&gt;&lt;m:r&gt;&lt;w:rPr&gt;&lt;w:rFonts w:ascii=&quot;Cambria Math&quot; w:fareast=&quot;仿宋_GB2312&quot; w:h-ansi=&quot;Cambria Math&quot;/&gt;&lt;wx:font wx:val=&quot;Cambria Math&quot;/&gt;&lt;w:i/&gt;&lt;w:sz w:val=&quot;32&quot;/&gt;&lt;w:sz-cs w:val=&quot;32&quot;/&gt;&lt;/w:rPodr&gt;&lt;mod:t&gt;hod&lt;/m:odt&gt;&lt;/odm:r&gt;&lt;/y&g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w:t>
      </w:r>
    </w:p>
    <w:p>
      <w:pPr>
        <w:spacing w:line="480" w:lineRule="atLeast"/>
        <w:ind w:firstLine="420" w:firstLineChars="200"/>
        <w:rPr>
          <w:rFonts w:ascii="宋体" w:hAnsi="宋体"/>
          <w:color w:val="000000"/>
          <w:szCs w:val="21"/>
        </w:rPr>
      </w:pPr>
      <w:r>
        <w:rPr>
          <w:position w:val="-32"/>
        </w:rPr>
        <w:object>
          <v:shape id="_x0000_i1030" o:spt="75" type="#_x0000_t75" style="height:35.25pt;width:144.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27" r:id="rId14">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hint="eastAsia" w:ascii="宋体" w:hAnsi="宋体"/>
          <w:color w:val="000000"/>
          <w:szCs w:val="21"/>
        </w:rPr>
        <w:t>为总体元素总数，</w:t>
      </w:r>
      <w:r>
        <w:rPr>
          <w:i/>
          <w:color w:val="000000"/>
          <w:szCs w:val="21"/>
        </w:rPr>
        <w:t>N</w:t>
      </w:r>
      <w:r>
        <w:rPr>
          <w:i/>
          <w:color w:val="000000"/>
          <w:szCs w:val="21"/>
          <w:vertAlign w:val="subscript"/>
        </w:rPr>
        <w:t>h</w:t>
      </w:r>
      <w:r>
        <w:rPr>
          <w:rFonts w:hint="eastAsia" w:ascii="宋体" w:hAnsi="宋体"/>
          <w:color w:val="000000"/>
          <w:szCs w:val="21"/>
        </w:rPr>
        <w:t>为第</w:t>
      </w:r>
      <w:r>
        <w:rPr>
          <w:i/>
          <w:color w:val="000000"/>
          <w:szCs w:val="21"/>
        </w:rPr>
        <w:t>h</w:t>
      </w:r>
      <w:r>
        <w:rPr>
          <w:rFonts w:hint="eastAsia" w:ascii="宋体" w:hAnsi="宋体"/>
          <w:color w:val="000000"/>
          <w:szCs w:val="21"/>
        </w:rPr>
        <w:t>层的元素总数，</w:t>
      </w:r>
      <w:r>
        <w:rPr>
          <w:i/>
          <w:color w:val="000000"/>
          <w:szCs w:val="21"/>
        </w:rPr>
        <w:t>S</w:t>
      </w:r>
      <w:r>
        <w:rPr>
          <w:i/>
          <w:color w:val="000000"/>
          <w:szCs w:val="21"/>
          <w:vertAlign w:val="subscript"/>
        </w:rPr>
        <w:t>h</w:t>
      </w:r>
      <w:r>
        <w:rPr>
          <w:color w:val="000000"/>
          <w:szCs w:val="21"/>
        </w:rPr>
        <w:fldChar w:fldCharType="begin"/>
      </w:r>
      <w:r>
        <w:rPr>
          <w:color w:val="000000"/>
          <w:szCs w:val="21"/>
        </w:rPr>
        <w:instrText xml:space="preserve"> QUOTE </w:instrText>
      </w:r>
      <w:r>
        <w:rPr>
          <w:color w:val="000000"/>
          <w:position w:val="-8"/>
          <w:szCs w:val="21"/>
        </w:rPr>
        <w:pict>
          <v:shape id="_x0000_i1031" o:spt="75" type="#_x0000_t75" style="height:18.75pt;width:15.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42E15&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B42E15&quot; wsp:rsidP=&quot;00B42E15&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S&lt;/m:t&gt;&lt;/m:r&gt;&lt;/m:e&gt;&lt;m:sub&gt;&lt;m:r&gt;&lt;w:rPr&gt;&lt;w:rFonts w:ascii=&quot;Cambria Math&quot; w:fareast=&quot;仿宋_GB2312&quot; w:h-ansi=&quot;Cambria Math&quot;/&gt;&lt;wx:font wx:val=&quot;Cambria Math&quot;/&gt;&lt;w:i/&gt;&lt;w:sz w:val=&quot;32&quot;/&gt;&lt;w:sz-cs w:val=&quot;32&quot;/&gt;&lt;/w:rPr&gt;&lt;m:t&gt;h&lt;/m:t&gt;&lt;/m:r&gt;&lt;/m:subod&gt;&lt;/mod: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color w:val="000000"/>
          <w:szCs w:val="21"/>
        </w:rPr>
        <w:instrText xml:space="preserve"> </w:instrText>
      </w:r>
      <w:r>
        <w:rPr>
          <w:color w:val="000000"/>
          <w:szCs w:val="21"/>
        </w:rPr>
        <w:fldChar w:fldCharType="end"/>
      </w:r>
      <w:r>
        <w:rPr>
          <w:rFonts w:hAnsi="宋体"/>
          <w:color w:val="000000"/>
          <w:szCs w:val="21"/>
        </w:rPr>
        <w:t>为第</w:t>
      </w:r>
      <w:r>
        <w:rPr>
          <w:i/>
          <w:color w:val="000000"/>
          <w:szCs w:val="21"/>
        </w:rPr>
        <w:t>h</w:t>
      </w:r>
      <w:r>
        <w:rPr>
          <w:rFonts w:hint="eastAsia" w:ascii="宋体" w:hAnsi="宋体"/>
          <w:color w:val="000000"/>
          <w:szCs w:val="21"/>
        </w:rPr>
        <w:t>层的标准差。</w:t>
      </w:r>
    </w:p>
    <w:p>
      <w:pPr>
        <w:spacing w:line="480" w:lineRule="atLeast"/>
        <w:ind w:firstLine="422" w:firstLineChars="200"/>
        <w:rPr>
          <w:rFonts w:ascii="宋体" w:hAnsi="宋体"/>
          <w:b/>
          <w:color w:val="000000"/>
          <w:szCs w:val="21"/>
        </w:rPr>
      </w:pPr>
      <w:r>
        <w:rPr>
          <w:rFonts w:hint="eastAsia" w:ascii="宋体" w:hAnsi="宋体"/>
          <w:b/>
          <w:color w:val="000000"/>
          <w:szCs w:val="21"/>
        </w:rPr>
        <w:t>每个最终层内至少包含5个以上样本单位，如果最终层内不足5个单位,则全部调查。</w:t>
      </w:r>
    </w:p>
    <w:p>
      <w:pPr>
        <w:spacing w:line="480" w:lineRule="atLeast"/>
        <w:ind w:firstLine="420" w:firstLineChars="200"/>
        <w:outlineLvl w:val="9"/>
        <w:rPr>
          <w:rFonts w:ascii="黑体" w:hAnsi="黑体" w:eastAsia="黑体"/>
          <w:color w:val="000000"/>
          <w:szCs w:val="21"/>
        </w:rPr>
      </w:pPr>
      <w:bookmarkStart w:id="190" w:name="_Toc461873821"/>
      <w:bookmarkStart w:id="191" w:name="_Toc33134738"/>
      <w:bookmarkStart w:id="192" w:name="_Toc1736840484"/>
      <w:bookmarkStart w:id="193" w:name="_Toc1832446167"/>
      <w:bookmarkStart w:id="194" w:name="_Toc321324688"/>
      <w:bookmarkStart w:id="195" w:name="_Toc468025925"/>
      <w:bookmarkStart w:id="196" w:name="_Toc2125591921"/>
      <w:r>
        <w:rPr>
          <w:rFonts w:hint="eastAsia" w:ascii="黑体" w:hAnsi="黑体" w:eastAsia="黑体"/>
          <w:color w:val="000000"/>
          <w:szCs w:val="21"/>
        </w:rPr>
        <w:t>五</w:t>
      </w:r>
      <w:r>
        <w:rPr>
          <w:rFonts w:ascii="黑体" w:hAnsi="黑体" w:eastAsia="黑体"/>
          <w:color w:val="000000"/>
          <w:szCs w:val="21"/>
        </w:rPr>
        <w:t>、</w:t>
      </w:r>
      <w:r>
        <w:rPr>
          <w:rFonts w:hint="eastAsia" w:ascii="黑体" w:hAnsi="黑体" w:eastAsia="黑体"/>
          <w:color w:val="000000"/>
          <w:szCs w:val="21"/>
        </w:rPr>
        <w:t>样本抽取</w:t>
      </w:r>
      <w:bookmarkEnd w:id="190"/>
      <w:bookmarkEnd w:id="191"/>
      <w:bookmarkEnd w:id="192"/>
      <w:bookmarkEnd w:id="193"/>
      <w:bookmarkEnd w:id="194"/>
      <w:bookmarkEnd w:id="195"/>
      <w:bookmarkEnd w:id="196"/>
    </w:p>
    <w:p>
      <w:pPr>
        <w:spacing w:line="480" w:lineRule="atLeast"/>
        <w:ind w:firstLine="420" w:firstLineChars="200"/>
        <w:rPr>
          <w:rFonts w:ascii="宋体" w:hAnsi="宋体"/>
          <w:color w:val="000000"/>
          <w:szCs w:val="21"/>
        </w:rPr>
      </w:pPr>
      <w:r>
        <w:rPr>
          <w:rFonts w:hint="eastAsia" w:ascii="宋体" w:hAnsi="宋体"/>
          <w:color w:val="000000"/>
          <w:szCs w:val="21"/>
        </w:rPr>
        <w:t>采用“永久随机数”方法抽取样本。对抽样框中的每个单位赋予一个永久随机数，在每一个最终层中将单位按照永久随机数从小到大排队，以起点0开始，抽取</w:t>
      </w:r>
      <w:r>
        <w:rPr>
          <w:i/>
          <w:color w:val="000000"/>
          <w:szCs w:val="21"/>
        </w:rPr>
        <w:t>n</w:t>
      </w:r>
      <w:r>
        <w:rPr>
          <w:i/>
          <w:color w:val="000000"/>
          <w:szCs w:val="21"/>
          <w:vertAlign w:val="subscript"/>
        </w:rPr>
        <w:t>h</w:t>
      </w:r>
      <w:r>
        <w:rPr>
          <w:rFonts w:hAnsi="宋体"/>
          <w:color w:val="000000"/>
          <w:szCs w:val="21"/>
        </w:rPr>
        <w:t>个最小永久随机数的单位作为第</w:t>
      </w:r>
      <w:r>
        <w:rPr>
          <w:i/>
          <w:color w:val="000000"/>
          <w:szCs w:val="21"/>
        </w:rPr>
        <w:t>h</w:t>
      </w:r>
      <w:r>
        <w:rPr>
          <w:rFonts w:hAnsi="宋体"/>
          <w:color w:val="000000"/>
          <w:szCs w:val="21"/>
        </w:rPr>
        <w:t>层的样本</w:t>
      </w:r>
      <w:r>
        <w:rPr>
          <w:rFonts w:hint="eastAsia" w:ascii="宋体" w:hAnsi="宋体"/>
          <w:color w:val="000000"/>
          <w:szCs w:val="21"/>
        </w:rPr>
        <w:t>。</w:t>
      </w:r>
      <w:r>
        <w:rPr>
          <w:rFonts w:ascii="宋体" w:hAnsi="宋体"/>
          <w:color w:val="000000"/>
          <w:szCs w:val="21"/>
        </w:rPr>
        <w:t>年季报样本</w:t>
      </w:r>
      <w:r>
        <w:rPr>
          <w:rFonts w:hint="eastAsia" w:ascii="宋体" w:hAnsi="宋体"/>
          <w:color w:val="000000"/>
          <w:szCs w:val="21"/>
        </w:rPr>
        <w:t>分别</w:t>
      </w:r>
      <w:r>
        <w:rPr>
          <w:rFonts w:ascii="宋体" w:hAnsi="宋体"/>
          <w:color w:val="000000"/>
          <w:szCs w:val="21"/>
        </w:rPr>
        <w:t>抽取后，对年报样本进行调整，使其覆盖季报样本。</w:t>
      </w:r>
    </w:p>
    <w:p>
      <w:pPr>
        <w:spacing w:line="480" w:lineRule="atLeast"/>
        <w:ind w:firstLine="420" w:firstLineChars="200"/>
        <w:outlineLvl w:val="9"/>
        <w:rPr>
          <w:rFonts w:ascii="黑体" w:hAnsi="黑体" w:eastAsia="黑体"/>
          <w:color w:val="000000"/>
          <w:szCs w:val="21"/>
        </w:rPr>
      </w:pPr>
      <w:bookmarkStart w:id="197" w:name="_Toc530412824"/>
      <w:bookmarkStart w:id="198" w:name="_Toc679392762"/>
      <w:bookmarkStart w:id="199" w:name="_Toc1884421392"/>
      <w:bookmarkStart w:id="200" w:name="_Toc1529244093"/>
      <w:bookmarkStart w:id="201" w:name="_Toc14114351"/>
      <w:bookmarkStart w:id="202" w:name="_Toc1847568809"/>
      <w:bookmarkStart w:id="203" w:name="_Toc264746416"/>
      <w:r>
        <w:rPr>
          <w:rFonts w:hint="eastAsia" w:ascii="黑体" w:hAnsi="黑体" w:eastAsia="黑体"/>
          <w:color w:val="000000"/>
          <w:szCs w:val="21"/>
        </w:rPr>
        <w:t>六、确定权数</w:t>
      </w:r>
      <w:bookmarkEnd w:id="197"/>
      <w:bookmarkEnd w:id="198"/>
      <w:bookmarkEnd w:id="199"/>
      <w:bookmarkEnd w:id="200"/>
      <w:bookmarkEnd w:id="201"/>
      <w:bookmarkEnd w:id="202"/>
      <w:bookmarkEnd w:id="203"/>
    </w:p>
    <w:p>
      <w:pPr>
        <w:spacing w:line="480" w:lineRule="atLeast"/>
        <w:ind w:firstLine="420" w:firstLineChars="200"/>
        <w:outlineLvl w:val="9"/>
        <w:rPr>
          <w:rFonts w:ascii="宋体" w:hAnsi="宋体"/>
          <w:color w:val="000000"/>
          <w:szCs w:val="21"/>
        </w:rPr>
      </w:pPr>
      <w:bookmarkStart w:id="204" w:name="_Toc11115401"/>
      <w:bookmarkStart w:id="205" w:name="_Toc1624635454"/>
      <w:bookmarkStart w:id="206" w:name="_Toc346629131"/>
      <w:bookmarkStart w:id="207" w:name="_Toc797313724"/>
      <w:bookmarkStart w:id="208" w:name="_Toc705747277"/>
      <w:bookmarkStart w:id="209" w:name="_Toc1247439495"/>
      <w:bookmarkStart w:id="210" w:name="_Toc1342273319"/>
      <w:r>
        <w:rPr>
          <w:rFonts w:hint="eastAsia" w:ascii="宋体" w:hAnsi="宋体"/>
          <w:color w:val="000000"/>
          <w:szCs w:val="21"/>
        </w:rPr>
        <w:t>1.基础</w:t>
      </w:r>
      <w:r>
        <w:rPr>
          <w:rFonts w:ascii="宋体" w:hAnsi="宋体"/>
          <w:color w:val="000000"/>
          <w:szCs w:val="21"/>
        </w:rPr>
        <w:t>权数</w:t>
      </w:r>
      <w:bookmarkEnd w:id="204"/>
      <w:bookmarkEnd w:id="205"/>
      <w:bookmarkEnd w:id="206"/>
      <w:bookmarkEnd w:id="207"/>
      <w:bookmarkEnd w:id="208"/>
      <w:bookmarkEnd w:id="209"/>
      <w:bookmarkEnd w:id="210"/>
    </w:p>
    <w:p>
      <w:pPr>
        <w:spacing w:line="480" w:lineRule="atLeast"/>
        <w:ind w:firstLine="420" w:firstLineChars="200"/>
        <w:rPr>
          <w:rFonts w:ascii="宋体" w:hAnsi="宋体"/>
          <w:color w:val="000000"/>
          <w:szCs w:val="21"/>
        </w:rPr>
      </w:pPr>
      <w:r>
        <w:rPr>
          <w:rFonts w:hint="eastAsia" w:ascii="宋体" w:hAnsi="宋体"/>
          <w:color w:val="000000"/>
          <w:szCs w:val="21"/>
        </w:rPr>
        <w:t>基础</w:t>
      </w:r>
      <w:r>
        <w:rPr>
          <w:rFonts w:ascii="宋体" w:hAnsi="宋体"/>
          <w:color w:val="000000"/>
          <w:szCs w:val="21"/>
        </w:rPr>
        <w:t>权数是该样本单位</w:t>
      </w:r>
      <w:r>
        <w:rPr>
          <w:rFonts w:hint="eastAsia" w:ascii="宋体" w:hAnsi="宋体"/>
          <w:color w:val="000000"/>
          <w:szCs w:val="21"/>
        </w:rPr>
        <w:t>被选</w:t>
      </w:r>
      <w:r>
        <w:rPr>
          <w:rFonts w:ascii="宋体" w:hAnsi="宋体"/>
          <w:color w:val="000000"/>
          <w:szCs w:val="21"/>
        </w:rPr>
        <w:t>概率的倒数。</w:t>
      </w:r>
      <w:r>
        <w:rPr>
          <w:rFonts w:hint="eastAsia" w:ascii="宋体" w:hAnsi="宋体"/>
          <w:color w:val="000000"/>
          <w:szCs w:val="21"/>
        </w:rPr>
        <w:t>设</w:t>
      </w:r>
      <w:r>
        <w:rPr>
          <w:rFonts w:hint="eastAsia"/>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2" o:spt="75" type="#_x0000_t75" style="height:18.75pt;width:18.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6440A&quot;/&gt;&lt;/wsp:rsids&gt;&lt;/w:docPr&gt;&lt;w:body&gt;&lt;wx:sect&gt;&lt;w:p wsp:rsidR=&quot;00000000&quot; wsp:rsidRDefault=&quot;00F6440A&quot; wsp:rsidP=&quot;00F6440A&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N&lt;/m:t&gt;&lt;/m:r&gt;&lt;/m:e&gt;&lt;m:sub&gt;&lt;m:r&gt;&lt;w:rPr&gt;&lt;w:rFonts w:ascii=&quot;Cambria Math&quot; w:fareast=&quot;仿宋_GB2312&quot; w:h-ansi=&quot;Cambria Math&quot;/&gt;&lt;wx:font wx:val=&quot;Cambria Math&quot;/&gt;&lt;w:i/&gt;&lt;w:sz w:val=&quot;32&quot;/&gt;&lt;w:sz-cs w:val=&quot;32&quot;/&gt;&lt;/w:rPr&gt;&lt;m:t&gt;h&lt;/m:t&gt;&lt;/m:r&gt;&lt;/m:subod&gt;&lt;/mod: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3" o:spt="75" type="#_x0000_t75" style="height:18.75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95FF1&quot;/&gt;&lt;wsp:rsid wsp:val=&quot;00CE55B2&quot;/&gt;&lt;wsp:rsid wsp:val=&quot;00E11C8E&quot;/&gt;&lt;/wsp:rsids&gt;&lt;/w:docPr&gt;&lt;w:body&gt;&lt;wx:sect&gt;&lt;w:p wsp:rsidR=&quot;00000000&quot; wsp:rsidRDefault=&quot;00C95FF1&quot; wsp:rsidP=&quot;00C95FF1&quot;&gt;&lt;m:oMathPara&gt;&lt;m:oMath&gt;&lt;m:r&gt;&lt;w:rPr&gt;&lt;w:rFonts w:ascii=&quot;Cambria Math&quot; w:fareast=&quot;仿宋_GB2312&quot; w:h-ansi=&quot;Cambria Math&quot;/&gt;&lt;wx:font wx:val=&quot;Cambria Math&quot;/&gt;&lt;w:i/&gt;&lt;w:sz w:val=&quot;32odod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层的元素总数，</w:t>
      </w:r>
      <w:r>
        <w:rPr>
          <w:i/>
          <w:color w:val="000000"/>
          <w:szCs w:val="21"/>
        </w:rPr>
        <w:t>n</w:t>
      </w:r>
      <w:r>
        <w:rPr>
          <w:i/>
          <w:color w:val="000000"/>
          <w:szCs w:val="21"/>
          <w:vertAlign w:val="subscript"/>
        </w:rPr>
        <w:t>h</w:t>
      </w:r>
      <w:r>
        <w:rPr>
          <w:rFonts w:hint="eastAsia" w:ascii="宋体" w:hAnsi="宋体"/>
          <w:color w:val="000000"/>
          <w:szCs w:val="21"/>
        </w:rPr>
        <w:t>为样本量，则在估计总量时的基础权数为</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i/>
          <w:color w:val="000000"/>
          <w:szCs w:val="21"/>
        </w:rPr>
        <w:t xml:space="preserve"> / 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position w:val="-8"/>
        </w:rPr>
        <w:pict>
          <v:shape id="_x0000_i1034" o:spt="75" type="#_x0000_t75" style="height:18.75pt;width:83.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000EED&quot;/&gt;&lt;wsp:rsid wsp:val=&quot;00001EEF&quot;/&gt;&lt;wsp:rsid wsp:val=&quot;00010B58&quot;/&gt;&lt;wsp:rsid wsp:val=&quot;000164D0&quot;/&gt;&lt;wsp:rsid wsp:val=&quot;00023F8A&quot;/&gt;&lt;wsp:rsid wsp:val=&quot;00031BC5&quot;/&gt;&lt;wsp:rsid wsp:val=&quot;0004403A&quot;/&gt;&lt;wsp:rsid wsp:val=&quot;0005136A&quot;/&gt;&lt;wsp:rsid wsp:val=&quot;000575FC&quot;/&gt;&lt;wsp:rsid wsp:val=&quot;00067082&quot;/&gt;&lt;wsp:rsid wsp:val=&quot;0007531A&quot;/&gt;&lt;wsp:rsid wsp:val=&quot;00084E24&quot;/&gt;&lt;wsp:rsid wsp:val=&quot;0009202C&quot;/&gt;&lt;wsp:rsid wsp:val=&quot;0009272F&quot;/&gt;&lt;wsp:rsid wsp:val=&quot;000A42BE&quot;/&gt;&lt;wsp:rsid wsp:val=&quot;000B166B&quot;/&gt;&lt;wsp:rsid wsp:val=&quot;000B1674&quot;/&gt;&lt;wsp:rsid wsp:val=&quot;000C0E88&quot;/&gt;&lt;wsp:rsid wsp:val=&quot;000C2F77&quot;/&gt;&lt;wsp:rsid wsp:val=&quot;000D5032&quot;/&gt;&lt;wsp:rsid wsp:val=&quot;000D6255&quot;/&gt;&lt;wsp:rsid wsp:val=&quot;000E4208&quot;/&gt;&lt;wsp:rsid wsp:val=&quot;000E4F87&quot;/&gt;&lt;wsp:rsid wsp:val=&quot;000F232B&quot;/&gt;&lt;wsp:rsid wsp:val=&quot;000F2D26&quot;/&gt;&lt;wsp:rsid wsp:val=&quot;000F459B&quot;/&gt;&lt;wsp:rsid wsp:val=&quot;00115E67&quot;/&gt;&lt;wsp:rsid wsp:val=&quot;00126355&quot;/&gt;&lt;wsp:rsid wsp:val=&quot;00130EBA&quot;/&gt;&lt;wsp:rsid wsp:val=&quot;00151568&quot;/&gt;&lt;wsp:rsid wsp:val=&quot;00157EFB&quot;/&gt;&lt;wsp:rsid wsp:val=&quot;00164D6F&quot;/&gt;&lt;wsp:rsid wsp:val=&quot;00172327&quot;/&gt;&lt;wsp:rsid wsp:val=&quot;001916C0&quot;/&gt;&lt;wsp:rsid wsp:val=&quot;001A373C&quot;/&gt;&lt;wsp:rsid wsp:val=&quot;001B1880&quot;/&gt;&lt;wsp:rsid wsp:val=&quot;001B71FB&quot;/&gt;&lt;wsp:rsid wsp:val=&quot;001C677C&quot;/&gt;&lt;wsp:rsid wsp:val=&quot;001C6FAB&quot;/&gt;&lt;wsp:rsid wsp:val=&quot;001D5D58&quot;/&gt;&lt;wsp:rsid wsp:val=&quot;001D5D60&quot;/&gt;&lt;wsp:rsid wsp:val=&quot;001F0027&quot;/&gt;&lt;wsp:rsid wsp:val=&quot;001F3C26&quot;/&gt;&lt;wsp:rsid wsp:val=&quot;002326C4&quot;/&gt;&lt;wsp:rsid wsp:val=&quot;00244AD9&quot;/&gt;&lt;wsp:rsid wsp:val=&quot;00244C6B&quot;/&gt;&lt;wsp:rsid wsp:val=&quot;00260640&quot;/&gt;&lt;wsp:rsid wsp:val=&quot;002610CB&quot;/&gt;&lt;wsp:rsid wsp:val=&quot;002758A0&quot;/&gt;&lt;wsp:rsid wsp:val=&quot;002B6262&quot;/&gt;&lt;wsp:rsid wsp:val=&quot;002C4E87&quot;/&gt;&lt;wsp:rsid wsp:val=&quot;002E472C&quot;/&gt;&lt;wsp:rsid wsp:val=&quot;00301E38&quot;/&gt;&lt;wsp:rsid wsp:val=&quot;00312511&quot;/&gt;&lt;wsp:rsid wsp:val=&quot;003309FF&quot;/&gt;&lt;wsp:rsid wsp:val=&quot;00334F73&quot;/&gt;&lt;wsp:rsid wsp:val=&quot;00351FB9&quot;/&gt;&lt;wsp:rsid wsp:val=&quot;00356FD8&quot;/&gt;&lt;wsp:rsid wsp:val=&quot;003638A1&quot;/&gt;&lt;wsp:rsid wsp:val=&quot;00363DCD&quot;/&gt;&lt;wsp:rsid wsp:val=&quot;00390B88&quot;/&gt;&lt;wsp:rsid wsp:val=&quot;0039276A&quot;/&gt;&lt;wsp:rsid wsp:val=&quot;003A74B8&quot;/&gt;&lt;wsp:rsid wsp:val=&quot;003B7371&quot;/&gt;&lt;wsp:rsid wsp:val=&quot;003D16BC&quot;/&gt;&lt;wsp:rsid wsp:val=&quot;003D2210&quot;/&gt;&lt;wsp:rsid wsp:val=&quot;003D2F0E&quot;/&gt;&lt;wsp:rsid wsp:val=&quot;003F3E54&quot;/&gt;&lt;wsp:rsid wsp:val=&quot;0040459A&quot;/&gt;&lt;wsp:rsid wsp:val=&quot;0041663D&quot;/&gt;&lt;wsp:rsid wsp:val=&quot;004241F3&quot;/&gt;&lt;wsp:rsid wsp:val=&quot;00424E9B&quot;/&gt;&lt;wsp:rsid wsp:val=&quot;00426762&quot;/&gt;&lt;wsp:rsid wsp:val=&quot;004342BD&quot;/&gt;&lt;wsp:rsid wsp:val=&quot;00450D59&quot;/&gt;&lt;wsp:rsid wsp:val=&quot;00451E7A&quot;/&gt;&lt;wsp:rsid wsp:val=&quot;00461C8E&quot;/&gt;&lt;wsp:rsid wsp:val=&quot;004825C3&quot;/&gt;&lt;wsp:rsid wsp:val=&quot;00493F4F&quot;/&gt;&lt;wsp:rsid wsp:val=&quot;00494763&quot;/&gt;&lt;wsp:rsid wsp:val=&quot;00495148&quot;/&gt;&lt;wsp:rsid wsp:val=&quot;004A2353&quot;/&gt;&lt;wsp:rsid wsp:val=&quot;004B55B3&quot;/&gt;&lt;wsp:rsid wsp:val=&quot;004C7B71&quot;/&gt;&lt;wsp:rsid wsp:val=&quot;004D0464&quot;/&gt;&lt;wsp:rsid wsp:val=&quot;004E282E&quot;/&gt;&lt;wsp:rsid wsp:val=&quot;004F1953&quot;/&gt;&lt;wsp:rsid wsp:val=&quot;004F4C1F&quot;/&gt;&lt;wsp:rsid wsp:val=&quot;005159E0&quot;/&gt;&lt;wsp:rsid wsp:val=&quot;00530A70&quot;/&gt;&lt;wsp:rsid wsp:val=&quot;00543C82&quot;/&gt;&lt;wsp:rsid wsp:val=&quot;00551D63&quot;/&gt;&lt;wsp:rsid wsp:val=&quot;005640F5&quot;/&gt;&lt;wsp:rsid wsp:val=&quot;00564863&quot;/&gt;&lt;wsp:rsid wsp:val=&quot;00581E71&quot;/&gt;&lt;wsp:rsid wsp:val=&quot;00584EAE&quot;/&gt;&lt;wsp:rsid wsp:val=&quot;00590160&quot;/&gt;&lt;wsp:rsid wsp:val=&quot;005953A6&quot;/&gt;&lt;wsp:rsid wsp:val=&quot;005A1461&quot;/&gt;&lt;wsp:rsid wsp:val=&quot;005B72C9&quot;/&gt;&lt;wsp:rsid wsp:val=&quot;005C150C&quot;/&gt;&lt;wsp:rsid wsp:val=&quot;005E2CFC&quot;/&gt;&lt;wsp:rsid wsp:val=&quot;005F4DAA&quot;/&gt;&lt;wsp:rsid wsp:val=&quot;005F6602&quot;/&gt;&lt;wsp:rsid wsp:val=&quot;00603F64&quot;/&gt;&lt;wsp:rsid wsp:val=&quot;00604029&quot;/&gt;&lt;wsp:rsid wsp:val=&quot;0062671B&quot;/&gt;&lt;wsp:rsid wsp:val=&quot;0063767F&quot;/&gt;&lt;wsp:rsid wsp:val=&quot;0064536A&quot;/&gt;&lt;wsp:rsid wsp:val=&quot;0065170B&quot;/&gt;&lt;wsp:rsid wsp:val=&quot;006526B5&quot;/&gt;&lt;wsp:rsid wsp:val=&quot;00661F12&quot;/&gt;&lt;wsp:rsid wsp:val=&quot;00671DDD&quot;/&gt;&lt;wsp:rsid wsp:val=&quot;00673B0C&quot;/&gt;&lt;wsp:rsid wsp:val=&quot;00675B55&quot;/&gt;&lt;wsp:rsid wsp:val=&quot;00677B70&quot;/&gt;&lt;wsp:rsid wsp:val=&quot;00677C81&quot;/&gt;&lt;wsp:rsid wsp:val=&quot;006D12BD&quot;/&gt;&lt;wsp:rsid wsp:val=&quot;006D7213&quot;/&gt;&lt;wsp:rsid wsp:val=&quot;007051AB&quot;/&gt;&lt;wsp:rsid wsp:val=&quot;007078F6&quot;/&gt;&lt;wsp:rsid wsp:val=&quot;007129E9&quot;/&gt;&lt;wsp:rsid wsp:val=&quot;007509C3&quot;/&gt;&lt;wsp:rsid wsp:val=&quot;007517C8&quot;/&gt;&lt;wsp:rsid wsp:val=&quot;00757504&quot;/&gt;&lt;wsp:rsid wsp:val=&quot;00757CF9&quot;/&gt;&lt;wsp:rsid wsp:val=&quot;00776BA0&quot;/&gt;&lt;wsp:rsid wsp:val=&quot;007948B8&quot;/&gt;&lt;wsp:rsid wsp:val=&quot;007A0615&quot;/&gt;&lt;wsp:rsid wsp:val=&quot;007A08EC&quot;/&gt;&lt;wsp:rsid wsp:val=&quot;007A26C9&quot;/&gt;&lt;wsp:rsid wsp:val=&quot;007B4F5A&quot;/&gt;&lt;wsp:rsid wsp:val=&quot;007C0263&quot;/&gt;&lt;wsp:rsid wsp:val=&quot;007C0745&quot;/&gt;&lt;wsp:rsid wsp:val=&quot;007C487C&quot;/&gt;&lt;wsp:rsid wsp:val=&quot;007D0486&quot;/&gt;&lt;wsp:rsid wsp:val=&quot;007D7424&quot;/&gt;&lt;wsp:rsid wsp:val=&quot;007E47BF&quot;/&gt;&lt;wsp:rsid wsp:val=&quot;007F44AB&quot;/&gt;&lt;wsp:rsid wsp:val=&quot;00823931&quot;/&gt;&lt;wsp:rsid wsp:val=&quot;0082504A&quot;/&gt;&lt;wsp:rsid wsp:val=&quot;00826232&quot;/&gt;&lt;wsp:rsid wsp:val=&quot;00842BC0&quot;/&gt;&lt;wsp:rsid wsp:val=&quot;008546A7&quot;/&gt;&lt;wsp:rsid wsp:val=&quot;008717E6&quot;/&gt;&lt;wsp:rsid wsp:val=&quot;00885A82&quot;/&gt;&lt;wsp:rsid wsp:val=&quot;00892EB1&quot;/&gt;&lt;wsp:rsid wsp:val=&quot;008951B6&quot;/&gt;&lt;wsp:rsid wsp:val=&quot;008977A3&quot;/&gt;&lt;wsp:rsid wsp:val=&quot;0089793C&quot;/&gt;&lt;wsp:rsid wsp:val=&quot;008A1266&quot;/&gt;&lt;wsp:rsid wsp:val=&quot;008A5E4D&quot;/&gt;&lt;wsp:rsid wsp:val=&quot;008A6C92&quot;/&gt;&lt;wsp:rsid wsp:val=&quot;008C6688&quot;/&gt;&lt;wsp:rsid wsp:val=&quot;008E537C&quot;/&gt;&lt;wsp:rsid wsp:val=&quot;008E5575&quot;/&gt;&lt;wsp:rsid wsp:val=&quot;008F2736&quot;/&gt;&lt;wsp:rsid wsp:val=&quot;008F3048&quot;/&gt;&lt;wsp:rsid wsp:val=&quot;008F78E3&quot;/&gt;&lt;wsp:rsid wsp:val=&quot;009045D6&quot;/&gt;&lt;wsp:rsid wsp:val=&quot;0090685B&quot;/&gt;&lt;wsp:rsid wsp:val=&quot;009163B2&quot;/&gt;&lt;wsp:rsid wsp:val=&quot;00920615&quot;/&gt;&lt;wsp:rsid wsp:val=&quot;0092090B&quot;/&gt;&lt;wsp:rsid wsp:val=&quot;00921C9D&quot;/&gt;&lt;wsp:rsid wsp:val=&quot;00956727&quot;/&gt;&lt;wsp:rsid wsp:val=&quot;009567C0&quot;/&gt;&lt;wsp:rsid wsp:val=&quot;009637B7&quot;/&gt;&lt;wsp:rsid wsp:val=&quot;00965A38&quot;/&gt;&lt;wsp:rsid wsp:val=&quot;00975212&quot;/&gt;&lt;wsp:rsid wsp:val=&quot;009A4602&quot;/&gt;&lt;wsp:rsid wsp:val=&quot;009B15B8&quot;/&gt;&lt;wsp:rsid wsp:val=&quot;009C4B53&quot;/&gt;&lt;wsp:rsid wsp:val=&quot;009C5FD0&quot;/&gt;&lt;wsp:rsid wsp:val=&quot;009F1B7C&quot;/&gt;&lt;wsp:rsid wsp:val=&quot;00A22AC1&quot;/&gt;&lt;wsp:rsid wsp:val=&quot;00A23E00&quot;/&gt;&lt;wsp:rsid wsp:val=&quot;00A25065&quot;/&gt;&lt;wsp:rsid wsp:val=&quot;00A25F16&quot;/&gt;&lt;wsp:rsid wsp:val=&quot;00A45AF6&quot;/&gt;&lt;wsp:rsid wsp:val=&quot;00A51DF1&quot;/&gt;&lt;wsp:rsid wsp:val=&quot;00A52A26&quot;/&gt;&lt;wsp:rsid wsp:val=&quot;00A57BD1&quot;/&gt;&lt;wsp:rsid wsp:val=&quot;00A63C57&quot;/&gt;&lt;wsp:rsid wsp:val=&quot;00A7409F&quot;/&gt;&lt;wsp:rsid wsp:val=&quot;00A77FE1&quot;/&gt;&lt;wsp:rsid wsp:val=&quot;00A93012&quot;/&gt;&lt;wsp:rsid wsp:val=&quot;00AA0B65&quot;/&gt;&lt;wsp:rsid wsp:val=&quot;00AA3E67&quot;/&gt;&lt;wsp:rsid wsp:val=&quot;00AB377D&quot;/&gt;&lt;wsp:rsid wsp:val=&quot;00AD284B&quot;/&gt;&lt;wsp:rsid wsp:val=&quot;00AD7C42&quot;/&gt;&lt;wsp:rsid wsp:val=&quot;00AE7343&quot;/&gt;&lt;wsp:rsid wsp:val=&quot;00B03011&quot;/&gt;&lt;wsp:rsid wsp:val=&quot;00B07956&quot;/&gt;&lt;wsp:rsid wsp:val=&quot;00B10255&quot;/&gt;&lt;wsp:rsid wsp:val=&quot;00B22FDE&quot;/&gt;&lt;wsp:rsid wsp:val=&quot;00B233D7&quot;/&gt;&lt;wsp:rsid wsp:val=&quot;00B60871&quot;/&gt;&lt;wsp:rsid wsp:val=&quot;00B643D0&quot;/&gt;&lt;wsp:rsid wsp:val=&quot;00B66022&quot;/&gt;&lt;wsp:rsid wsp:val=&quot;00B66AA3&quot;/&gt;&lt;wsp:rsid wsp:val=&quot;00B724EA&quot;/&gt;&lt;wsp:rsid wsp:val=&quot;00B76CCA&quot;/&gt;&lt;wsp:rsid wsp:val=&quot;00B82116&quot;/&gt;&lt;wsp:rsid wsp:val=&quot;00B92D55&quot;/&gt;&lt;wsp:rsid wsp:val=&quot;00B938D1&quot;/&gt;&lt;wsp:rsid wsp:val=&quot;00BA59CA&quot;/&gt;&lt;wsp:rsid wsp:val=&quot;00BA6061&quot;/&gt;&lt;wsp:rsid wsp:val=&quot;00BB5945&quot;/&gt;&lt;wsp:rsid wsp:val=&quot;00BC6A89&quot;/&gt;&lt;wsp:rsid wsp:val=&quot;00BD7791&quot;/&gt;&lt;wsp:rsid wsp:val=&quot;00BE0FED&quot;/&gt;&lt;wsp:rsid wsp:val=&quot;00BE3CE8&quot;/&gt;&lt;wsp:rsid wsp:val=&quot;00BF3C6C&quot;/&gt;&lt;wsp:rsid wsp:val=&quot;00C02744&quot;/&gt;&lt;wsp:rsid wsp:val=&quot;00C1060C&quot;/&gt;&lt;wsp:rsid wsp:val=&quot;00C2445F&quot;/&gt;&lt;wsp:rsid wsp:val=&quot;00C2654E&quot;/&gt;&lt;wsp:rsid wsp:val=&quot;00C30CC4&quot;/&gt;&lt;wsp:rsid wsp:val=&quot;00C3479C&quot;/&gt;&lt;wsp:rsid wsp:val=&quot;00C47198&quot;/&gt;&lt;wsp:rsid wsp:val=&quot;00C47867&quot;/&gt;&lt;wsp:rsid wsp:val=&quot;00C524B7&quot;/&gt;&lt;wsp:rsid wsp:val=&quot;00C55F86&quot;/&gt;&lt;wsp:rsid wsp:val=&quot;00C63D6D&quot;/&gt;&lt;wsp:rsid wsp:val=&quot;00C64358&quot;/&gt;&lt;wsp:rsid wsp:val=&quot;00C73277&quot;/&gt;&lt;wsp:rsid wsp:val=&quot;00C83DAB&quot;/&gt;&lt;wsp:rsid wsp:val=&quot;00C84A79&quot;/&gt;&lt;wsp:rsid wsp:val=&quot;00CB2172&quot;/&gt;&lt;wsp:rsid wsp:val=&quot;00CD2FA1&quot;/&gt;&lt;wsp:rsid wsp:val=&quot;00CD4AD2&quot;/&gt;&lt;wsp:rsid wsp:val=&quot;00CE55B2&quot;/&gt;&lt;wsp:rsid wsp:val=&quot;00CF63AA&quot;/&gt;&lt;wsp:rsid wsp:val=&quot;00D12D6B&quot;/&gt;&lt;wsp:rsid wsp:val=&quot;00D35EFB&quot;/&gt;&lt;wsp:rsid wsp:val=&quot;00D370BA&quot;/&gt;&lt;wsp:rsid wsp:val=&quot;00D559E6&quot;/&gt;&lt;wsp:rsid wsp:val=&quot;00D6491C&quot;/&gt;&lt;wsp:rsid wsp:val=&quot;00D67C0F&quot;/&gt;&lt;wsp:rsid wsp:val=&quot;00D71AD6&quot;/&gt;&lt;wsp:rsid wsp:val=&quot;00D803B1&quot;/&gt;&lt;wsp:rsid wsp:val=&quot;00D96C4C&quot;/&gt;&lt;wsp:rsid wsp:val=&quot;00D97F49&quot;/&gt;&lt;wsp:rsid wsp:val=&quot;00DC6D1F&quot;/&gt;&lt;wsp:rsid wsp:val=&quot;00DD6C30&quot;/&gt;&lt;wsp:rsid wsp:val=&quot;00DE6C10&quot;/&gt;&lt;wsp:rsid wsp:val=&quot;00DF24F3&quot;/&gt;&lt;wsp:rsid wsp:val=&quot;00E04FE0&quot;/&gt;&lt;wsp:rsid wsp:val=&quot;00E11C8E&quot;/&gt;&lt;wsp:rsid wsp:val=&quot;00E30939&quot;/&gt;&lt;wsp:rsid wsp:val=&quot;00E36168&quot;/&gt;&lt;wsp:rsid wsp:val=&quot;00E54D75&quot;/&gt;&lt;wsp:rsid wsp:val=&quot;00E61A8E&quot;/&gt;&lt;wsp:rsid wsp:val=&quot;00E65316&quot;/&gt;&lt;wsp:rsid wsp:val=&quot;00E74D25&quot;/&gt;&lt;wsp:rsid wsp:val=&quot;00E916E7&quot;/&gt;&lt;wsp:rsid wsp:val=&quot;00E9629D&quot;/&gt;&lt;wsp:rsid wsp:val=&quot;00EA3FF4&quot;/&gt;&lt;wsp:rsid wsp:val=&quot;00EB3450&quot;/&gt;&lt;wsp:rsid wsp:val=&quot;00EC6E13&quot;/&gt;&lt;wsp:rsid wsp:val=&quot;00ED129E&quot;/&gt;&lt;wsp:rsid wsp:val=&quot;00EE041B&quot;/&gt;&lt;wsp:rsid wsp:val=&quot;00EE6DF0&quot;/&gt;&lt;wsp:rsid wsp:val=&quot;00EF050C&quot;/&gt;&lt;wsp:rsid wsp:val=&quot;00F01BC7&quot;/&gt;&lt;wsp:rsid wsp:val=&quot;00F13879&quot;/&gt;&lt;wsp:rsid wsp:val=&quot;00F2041C&quot;/&gt;&lt;wsp:rsid wsp:val=&quot;00F405D5&quot;/&gt;&lt;wsp:rsid wsp:val=&quot;00F47EAE&quot;/&gt;&lt;wsp:rsid wsp:val=&quot;00F5002C&quot;/&gt;&lt;wsp:rsid wsp:val=&quot;00F51537&quot;/&gt;&lt;wsp:rsid wsp:val=&quot;00F533BF&quot;/&gt;&lt;wsp:rsid wsp:val=&quot;00F56D93&quot;/&gt;&lt;wsp:rsid wsp:val=&quot;00F56FB3&quot;/&gt;&lt;wsp:rsid wsp:val=&quot;00F67BCB&quot;/&gt;&lt;wsp:rsid wsp:val=&quot;00F73547&quot;/&gt;&lt;wsp:rsid wsp:val=&quot;00FB3C20&quot;/&gt;&lt;wsp:rsid wsp:val=&quot;00FB50F2&quot;/&gt;&lt;wsp:rsid wsp:val=&quot;00FB5153&quot;/&gt;&lt;wsp:rsid wsp:val=&quot;00FC644F&quot;/&gt;&lt;wsp:rsid wsp:val=&quot;00FD3FF8&quot;/&gt;&lt;wsp:rsid wsp:val=&quot;00FD66C9&quot;/&gt;&lt;/wsp:rsids&gt;&lt;/w:docPr&gt;&lt;w:body&gt;&lt;wx:sect&gt;&lt;w:p wsp:rsidR=&quot;00000000&quot; wsp:rsidRDefault=&quot;005640F5&quot; wsp:rsidP=&quot;005640F5&quot;&gt;&lt;m:oMathPara&gt;&lt;m:oMath&gt;&lt;m:sSub&gt;&lt;m:sSubPr&gt;&lt;m:ctrlPr&gt;&lt;w:rPr&gt;&lt;w:rFonts w:ascii=&quot;Cambria Math&quot; w:fareast=&quot;仿宋_GB28&quot;8&quot;8&quot;8&quot;8&quot;31/&gt;2&quot; w:h-ansi=&quot;Cambria Math&quot;/&gt;&lt;wx:font wx:val=&quot;Cambria Math&quot;/&gt;&lt;w:sz w:val=&quot;32&quot;/&gt;&lt;w:sz-cs w:val=&quot;32&quot;/&gt;&lt;/w:rPr&gt;&lt;/m:ctrlPr&gt;&lt;/m:sSubPr&gt;&lt;m:e&gt;&lt;m:r&gt;&lt;w:rPr&gt;&lt;w:rFonts w:ascii=&quot;Cambria Math&quot; w:fareast=&quot;仿宋_GB2312&quot; w:h-ansi=&quot;Cambria Math&quot;/&gt;&lt;wx:font wx:val8&quot;=&quot;8&quot;Ca8&quot;mb8&quot;ri8&quot;a Ma/&gt;th&quot;/&gt;&lt;w:i/&gt;&lt;w:sz w:val=&quot;30&quot;/&gt;&lt;w:sz-cs w:val=&quot;30&quot;/&gt;&lt;/w:rPr&gt;&lt;m:t&gt;w&lt;/m:t&gt;&lt;/m:r&gt;&lt;/m:e&gt;&lt;m:sub&gt;&lt;m:r&gt;&lt;w:rPr&gt;&lt;w:rFonts w:ascii=&quot;Cambria Math&quot; w:fareast=&quot;仿宋_GB2312&quot; w:h-ansi=&quot;Cambria Math&quot;/&gt;&lt;wx:font wx:val=&quot;Cambria Math&quot;/&gt;&lt;w:i/&gt;&lt;w:sz w:val=8&quot;&quot;32&quot;8&quot;/&gt;&lt;w8&quot;:sz-8&quot;cs w8&quot;:val=&quot;/&gt;32&quot;/&gt;&lt;/w:rPr&gt;&lt;m:t&gt;h&lt;/m:t&gt;&lt;/m:r&gt;&lt;/m:sub&gt;&lt;/m:sSub&gt;&lt;m:r&gt;&lt;m:rPr&gt;&lt;m:sty m:val=&quot;p&quot;/&gt;&lt;/m:rPr&gt;&lt;w:rPr&gt;&lt;w:rFonts w:ascii=&quot;Cambria Math&quot; w:fareast=&quot;仿宋_GB2312&quot; w:h-ansi=&quot;Cambria Math&quot;/&gt;&lt;wx:font wx:val=&quot;Cambria Math&quot;/&gt;&lt;w:sz w:val=&quot;32&quot;8&quot;/&gt;&lt;w:s8&quot;z-cs w8&quot;:val=&quot;8&quot;32&quot;/&gt;&lt;8&quot;/w:rPr&gt;&lt;/&gt;m:t&gt;=&lt;/m:t&gt;&lt;/m:r&gt;&lt;m:sSub&gt;&lt;m:sSubPr&gt;&lt;m:ctrlPr&gt;&lt;w:rPr&gt;&lt;w:rFonts w:ascii=&quot;Cambria Math&quot; w:fareast=&quot;仿宋_GB2312&quot; w:h-ansi=&quot;Cambria Math&quot;/&gt;&lt;wx:font wx:val=&quot;Cambria Math&quot;/&gt;&lt;w:sz w:val=&quot;32&quot;/&gt;&lt;w:sz-cs w:val=&quot;32&quot;/&gt;&lt;/w:rPr&gt;8&quot;&lt;/m:ctrl8&quot;Pr&gt;&lt;/m:s8&quot;SubPr&gt;&lt;m8&quot;:e&gt;&lt;m:r&gt;8&quot;&lt;w:rPr&gt;&lt;w:/&gt;rFonts w:ascii=&quot;Cambria Math&quot; w:fareast=&quot;仿宋_GB2312&quot; w:h-ansi=&quot;Cambria Math&quot;/&gt;&lt;wx:font wx:val=&quot;Cambria Math&quot;/&gt;&lt;w:i/&gt;&lt;w:sz w:val=&quot;32&quot;/&gt;&lt;w:sz-cs w:val=&quot;32&quot;/&gt;&lt;/w:rPr&gt;&lt;m:t&gt;N&lt;/m:t&gt;&lt;/m:r&gt;&lt;/m:e&gt;&lt;m:sub&gt;&lt;m:r&gt;&lt;w:8&quot;rPr&gt;&lt;w:rFo8&quot;nts w:asci8&quot;i=&quot;Cambria8&quot; Math&quot; w:f8&quot;areast=&quot;仿宋w:/&gt;_GB2312&quot; w:h-ansi=&quot;Cambria Math&quot;/&gt;&lt;wx:font wx:val=&quot;Cambria Math&quot;/&gt;&lt;w:i/&gt;&lt;w:sz w:val=&quot;32&quot;/&gt;&lt;w:sz-cs w:val=&quot;32&quot;/&gt;&lt;/w:rPr&gt;&lt;m:t&gt;h&lt;/m:t&gt;&lt;/m:r&gt;&lt;/m:sub&gt;&lt;/m:sSub&gt;&lt;m:r&gt;&lt;m:rPr&gt;&lt;m:sty m:val=&quot;p&quot;/&gt;&lt;/m:rPr8&quot;&gt;&lt;w:rPr&gt;&lt;w:r8&quot;Fonts w:asci8&quot;i=&quot;Cambria M8&quot;ath&quot; w:farea8&quot;st=&quot;仿宋_GB2312&quot;/&gt; w:h-ansi=&quot;Cambria Math&quot;/&gt;&lt;wx:font wx:val=&quot;Cambria Math&quot;/&gt;&lt;w:sz w:val=&quot;32&quot;/&gt;&lt;w:sz-cs w:val=&quot;32&quot;/&gt;&lt;/w:rPr&gt;&lt;m:t&gt;/&lt;/m:t&gt;&lt;/m:r&gt;&lt;m:sSub&gt;&lt;m:sSubPr&gt;&lt;m:ctrlPr&gt;&lt;w:rPr&gt;&lt;w:rFonts w:ascii=&quot;Camb8&quot;ria Math&quot; w:fa8&quot;reast=&quot;仿宋_GBci8&quot;2312&quot; w:h-ansi M8&quot;=&quot;Cambria Mathea8&quot;&quot;/&gt;&lt;wx:font wx:val/&gt;=&quot;Cambria Math&quot;/&gt;&lt;w:sz w:val=&quot;32&quot;/&gt;&lt;w:sz-cs w:val=&quot;32&quot;/&gt;&lt;/w:rPr&gt;&lt;/m:ctrlPr&gt;&lt;/m:sSubPr&gt;&lt;m:e&gt;&lt;m:r&gt;&lt;w:rPr&gt;&lt;w:rFonts w:ascii=&quot;Cambria Math&quot; w:fareast=&quot;仿宋_GB2312&quot; w:h-amb8&quot;nsi=&quot;Cambria Matfa8&quot;h&quot;/&gt;&lt;wx:font wx:va8&quot;l=&quot;Cambria Math&quot;/&gt;8&quot;&lt;w:i/&gt;&lt;w:sz w:val=8&quot;&quot;32&quot;/&gt;&lt;w:sz-cs w:val/&gt;=&quot;32&quot;/&gt;&lt;/w:rPr&gt;&lt;m:t&gt;n&lt;/m:t&gt;&lt;/m:r&gt;&lt;/m:e&gt;&lt;m:sub&gt;&lt;m:r&gt;&lt;w:rPr&gt;&lt;w:rFonts w:ascii=&quot;Cambria Math&quot; w:fareast=&quot;仿宋_GB2312&quot; w:h-ansi=&quot;Cambria Math&quot;/&gt;&lt;wx:font wx:v8&quot;al=&quot;Cambria Math&quot;/&gt;&lt;8&quot;w:i/&gt;&lt;w:sz w:val=&quot;328&quot;&quot;/&gt;&lt;w:sz-cs w:val=&quot;38&quot;2&quot;/&gt;&lt;/w:rPr&gt;&lt;m:t&gt;h&lt;/8&quot;m:t&gt;&lt;/m:r&gt;&lt;/m:sub&gt;&lt;/m:/&gt;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w:t>
      </w:r>
    </w:p>
    <w:p>
      <w:pPr>
        <w:spacing w:line="480" w:lineRule="atLeast"/>
        <w:ind w:firstLine="420" w:firstLineChars="200"/>
        <w:outlineLvl w:val="9"/>
        <w:rPr>
          <w:rFonts w:ascii="宋体" w:hAnsi="宋体"/>
          <w:color w:val="000000"/>
          <w:szCs w:val="21"/>
        </w:rPr>
      </w:pPr>
      <w:bookmarkStart w:id="211" w:name="_Toc1446914703"/>
      <w:bookmarkStart w:id="212" w:name="_Toc232198595"/>
      <w:bookmarkStart w:id="213" w:name="_Toc1857557866"/>
      <w:bookmarkStart w:id="214" w:name="_Toc2008675880"/>
      <w:bookmarkStart w:id="215" w:name="_Toc160995364"/>
      <w:bookmarkStart w:id="216" w:name="_Toc634795445"/>
      <w:bookmarkStart w:id="217" w:name="_Toc1163597100"/>
      <w:r>
        <w:rPr>
          <w:rFonts w:ascii="宋体" w:hAnsi="宋体"/>
          <w:color w:val="000000"/>
          <w:szCs w:val="21"/>
        </w:rPr>
        <w:t>2.</w:t>
      </w:r>
      <w:r>
        <w:rPr>
          <w:rFonts w:hint="eastAsia" w:ascii="宋体" w:hAnsi="宋体"/>
          <w:color w:val="000000"/>
          <w:szCs w:val="21"/>
        </w:rPr>
        <w:t>最终</w:t>
      </w:r>
      <w:r>
        <w:rPr>
          <w:rFonts w:ascii="宋体" w:hAnsi="宋体"/>
          <w:color w:val="000000"/>
          <w:szCs w:val="21"/>
        </w:rPr>
        <w:t>权数</w:t>
      </w:r>
      <w:bookmarkEnd w:id="211"/>
      <w:bookmarkEnd w:id="212"/>
      <w:bookmarkEnd w:id="213"/>
      <w:bookmarkEnd w:id="214"/>
      <w:bookmarkEnd w:id="215"/>
      <w:bookmarkEnd w:id="216"/>
      <w:bookmarkEnd w:id="217"/>
    </w:p>
    <w:p>
      <w:pPr>
        <w:spacing w:line="480" w:lineRule="atLeast"/>
        <w:ind w:firstLine="420" w:firstLineChars="200"/>
        <w:rPr>
          <w:rFonts w:ascii="宋体" w:hAnsi="宋体"/>
          <w:color w:val="000000"/>
          <w:szCs w:val="21"/>
        </w:rPr>
      </w:pPr>
      <w:r>
        <w:rPr>
          <w:rFonts w:hint="eastAsia" w:ascii="宋体" w:hAnsi="宋体"/>
          <w:color w:val="000000"/>
          <w:szCs w:val="21"/>
        </w:rPr>
        <w:t>根据无回答有效</w:t>
      </w:r>
      <w:r>
        <w:rPr>
          <w:rFonts w:ascii="宋体" w:hAnsi="宋体"/>
          <w:color w:val="000000"/>
          <w:szCs w:val="21"/>
        </w:rPr>
        <w:t>样本单位</w:t>
      </w:r>
      <w:r>
        <w:rPr>
          <w:rFonts w:hint="eastAsia" w:ascii="宋体" w:hAnsi="宋体"/>
          <w:color w:val="000000"/>
          <w:szCs w:val="21"/>
        </w:rPr>
        <w:t>以及</w:t>
      </w:r>
      <w:r>
        <w:rPr>
          <w:rFonts w:ascii="宋体" w:hAnsi="宋体"/>
          <w:color w:val="000000"/>
          <w:szCs w:val="21"/>
        </w:rPr>
        <w:t>每季度新生单位</w:t>
      </w:r>
      <w:r>
        <w:rPr>
          <w:rFonts w:hint="eastAsia" w:ascii="宋体" w:hAnsi="宋体"/>
          <w:color w:val="000000"/>
          <w:szCs w:val="21"/>
        </w:rPr>
        <w:t>对权数进行调整。设</w:t>
      </w:r>
      <w:r>
        <w:rPr>
          <w:rFonts w:ascii="宋体" w:hAnsi="宋体"/>
          <w:color w:val="000000"/>
          <w:position w:val="-12"/>
          <w:szCs w:val="21"/>
        </w:rPr>
        <w:object>
          <v:shape id="_x0000_i1035" o:spt="75" type="#_x0000_t75" style="height:18pt;width:15.75pt;" o:ole="t" filled="f" o:preferrelative="t" stroked="f" coordsize="21600,21600">
            <v:path/>
            <v:fill on="f" focussize="0,0"/>
            <v:stroke on="f" joinstyle="miter"/>
            <v:imagedata r:id="rId20" o:title=""/>
            <o:lock v:ext="edit" aspectratio="t"/>
            <w10:wrap type="none"/>
            <w10:anchorlock/>
          </v:shape>
          <o:OLEObject Type="Embed" ProgID="Equation.3" ShapeID="_x0000_i1035" DrawAspect="Content" ObjectID="_1468075728" r:id="rId19">
            <o:LockedField>false</o:LockedField>
          </o:OLEObject>
        </w:objec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6" o:spt="75" type="#_x0000_t75" style="height:18.7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A53BB4&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A53BB4&quot; wsp:rsidP=&quot;00A53BB4&quot;&gt;&lt;m:oMathPara&gt;&lt;m:oMath&gt;&lt;m:sSubSup&gt;&lt;m:sSubSupPr&gt;&lt;m:ctrlPr&gt;&lt;w:rPr&gt;&lt;w:rFonts w:ascii=&quot;Cambria Math&quot; w:fareast=&quot;仿宋_GB2312&quot; w:h-ansi=&quot;Cambria Math&quot;/&gt;&lt;wx:font wx:val=&quot;Cambriaodod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od:vod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odr&gt;&lt;/od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odsup&gt;&lt;/odm:sSubodSup&gt;&lt;/odm:oMatodh&gt;&lt;/m:oMy&gt;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1"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为无回答有效</w:t>
      </w:r>
      <w:r>
        <w:rPr>
          <w:rFonts w:ascii="宋体" w:hAnsi="宋体"/>
          <w:color w:val="000000"/>
          <w:szCs w:val="21"/>
        </w:rPr>
        <w:t>样本</w:t>
      </w:r>
      <w:r>
        <w:rPr>
          <w:rFonts w:hint="eastAsia" w:ascii="宋体" w:hAnsi="宋体"/>
          <w:color w:val="000000"/>
          <w:szCs w:val="21"/>
        </w:rPr>
        <w:t>个数，</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szCs w:val="21"/>
        </w:rPr>
        <w:pict>
          <v:shape id="_x0000_i1037" o:spt="75" type="#_x0000_t75" style="height:18.75pt;width:18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1296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12969&quot; wsp:rsidP=&quot;00612969&quot;&gt;&lt;m:oMathPara&gt;&lt;m:oMath&gt;&lt;m:sSubSup&gt;&lt;m:sSubSupPr&gt;&lt;m:ctrlPr&gt;&lt;w:rPr&gt;&lt;w:rFonts w:ascii=&quot;Cambria Math&quot; w:fareast=&quot;仿宋_GB2312&quot; w:h-ansi=&quot;Cambria Math&quot;/&gt;&lt;wx:font wx:val=&quot;Cambriaodod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od:vod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odr&gt;&lt;/od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od:sup&gt;&lt;od/m:sSuodbSup&gt;&lt;od/m:oMaodth&gt;&lt;/m:oy&gt;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2"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position w:val="-12"/>
          <w:szCs w:val="21"/>
        </w:rPr>
        <w:object>
          <v:shape id="_x0000_i1038" o:spt="75" type="#_x0000_t75" style="height:18pt;width:18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29" r:id="rId23">
            <o:LockedField>false</o:LockedField>
          </o:OLEObject>
        </w:object>
      </w:r>
      <w:r>
        <w:rPr>
          <w:rFonts w:ascii="宋体" w:hAnsi="宋体"/>
          <w:color w:val="000000"/>
          <w:szCs w:val="21"/>
        </w:rPr>
        <w:fldChar w:fldCharType="end"/>
      </w:r>
      <w:r>
        <w:rPr>
          <w:rFonts w:hint="eastAsia" w:ascii="宋体" w:hAnsi="宋体"/>
          <w:color w:val="000000"/>
          <w:szCs w:val="21"/>
        </w:rPr>
        <w:t>为回答样本个数，</w:t>
      </w:r>
      <w:r>
        <w:rPr>
          <w:rFonts w:ascii="宋体" w:hAnsi="宋体"/>
          <w:color w:val="000000"/>
          <w:position w:val="-12"/>
          <w:szCs w:val="21"/>
        </w:rPr>
        <w:object>
          <v:shape id="_x0000_i1039" o:spt="75" type="#_x0000_t75" style="height:18pt;width:20.2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0" r:id="rId25">
            <o:LockedField>false</o:LockedField>
          </o:OLEObject>
        </w:object>
      </w:r>
      <w:r>
        <w:rPr>
          <w:rFonts w:hint="eastAsia" w:ascii="宋体" w:hAnsi="宋体"/>
          <w:color w:val="000000"/>
          <w:szCs w:val="21"/>
        </w:rPr>
        <w:t>为</w:t>
      </w:r>
      <w:r>
        <w:rPr>
          <w:rFonts w:ascii="宋体" w:hAnsi="宋体"/>
          <w:color w:val="000000"/>
          <w:szCs w:val="21"/>
        </w:rPr>
        <w:t>新生单位</w:t>
      </w:r>
      <w:r>
        <w:rPr>
          <w:rFonts w:hint="eastAsia" w:ascii="宋体" w:hAnsi="宋体"/>
          <w:color w:val="000000"/>
          <w:szCs w:val="21"/>
        </w:rPr>
        <w:t>个</w:t>
      </w:r>
      <w:r>
        <w:rPr>
          <w:rFonts w:ascii="宋体" w:hAnsi="宋体"/>
          <w:color w:val="000000"/>
          <w:szCs w:val="21"/>
        </w:rPr>
        <w:t>数。</w:t>
      </w:r>
      <w:r>
        <w:rPr>
          <w:rFonts w:hint="eastAsia" w:ascii="宋体" w:hAnsi="宋体"/>
          <w:color w:val="000000"/>
          <w:szCs w:val="21"/>
        </w:rPr>
        <w:t>则估计总量的调整权数为</w:t>
      </w:r>
    </w:p>
    <w:p>
      <w:pPr>
        <w:spacing w:line="480" w:lineRule="atLeast"/>
        <w:ind w:firstLine="420" w:firstLineChars="200"/>
        <w:rPr>
          <w:rFonts w:ascii="宋体" w:hAnsi="宋体"/>
          <w:color w:val="000000"/>
          <w:szCs w:val="21"/>
        </w:rPr>
      </w:pPr>
      <w:r>
        <w:rPr>
          <w:position w:val="-30"/>
        </w:rPr>
        <w:object>
          <v:shape id="_x0000_i1040" o:spt="75" type="#_x0000_t75" style="height:36pt;width:119.25pt;" o:ole="t" filled="f" o:preferrelative="t" stroked="f" coordsize="21600,21600">
            <v:path/>
            <v:fill on="f" focussize="0,0"/>
            <v:stroke on="f" joinstyle="miter"/>
            <v:imagedata r:id="rId28" o:title=""/>
            <o:lock v:ext="edit" aspectratio="t"/>
            <w10:wrap type="none"/>
            <w10:anchorlock/>
          </v:shape>
          <o:OLEObject Type="Embed" ProgID="Equation.DSMT4" ShapeID="_x0000_i1040" DrawAspect="Content" ObjectID="_1468075731" r:id="rId27">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对于非</w:t>
      </w:r>
      <w:r>
        <w:rPr>
          <w:rFonts w:ascii="宋体" w:hAnsi="宋体"/>
          <w:color w:val="000000"/>
          <w:szCs w:val="21"/>
        </w:rPr>
        <w:t>录入误差的离群值，将离群值</w:t>
      </w:r>
      <w:r>
        <w:rPr>
          <w:rFonts w:hint="eastAsia" w:ascii="宋体" w:hAnsi="宋体"/>
          <w:color w:val="000000"/>
          <w:szCs w:val="21"/>
        </w:rPr>
        <w:t>的</w:t>
      </w:r>
      <w:r>
        <w:rPr>
          <w:rFonts w:ascii="宋体" w:hAnsi="宋体"/>
          <w:color w:val="000000"/>
          <w:szCs w:val="21"/>
        </w:rPr>
        <w:t>权数调整为</w:t>
      </w:r>
      <w:r>
        <w:rPr>
          <w:rFonts w:hint="eastAsia" w:ascii="宋体" w:hAnsi="宋体"/>
          <w:color w:val="000000"/>
          <w:szCs w:val="21"/>
        </w:rPr>
        <w:t>1，</w:t>
      </w:r>
      <w:r>
        <w:rPr>
          <w:rFonts w:ascii="宋体" w:hAnsi="宋体"/>
          <w:color w:val="000000"/>
          <w:szCs w:val="21"/>
        </w:rPr>
        <w:t>剩余权数分配给层内其他有效回答企业</w:t>
      </w:r>
      <w:r>
        <w:rPr>
          <w:rFonts w:hint="eastAsia" w:ascii="宋体" w:hAnsi="宋体"/>
          <w:color w:val="000000"/>
          <w:szCs w:val="21"/>
        </w:rPr>
        <w:t>，</w:t>
      </w:r>
      <w:r>
        <w:rPr>
          <w:rFonts w:ascii="宋体" w:hAnsi="宋体"/>
          <w:color w:val="000000"/>
          <w:szCs w:val="21"/>
        </w:rPr>
        <w:t>得到</w:t>
      </w:r>
      <w:r>
        <w:rPr>
          <w:rFonts w:hint="eastAsia" w:ascii="宋体" w:hAnsi="宋体"/>
          <w:color w:val="000000"/>
          <w:szCs w:val="21"/>
        </w:rPr>
        <w:t>样本</w:t>
      </w:r>
      <w:r>
        <w:rPr>
          <w:rFonts w:ascii="宋体" w:hAnsi="宋体"/>
          <w:color w:val="000000"/>
          <w:szCs w:val="21"/>
        </w:rPr>
        <w:t>企业的最终权数。</w:t>
      </w:r>
    </w:p>
    <w:p>
      <w:pPr>
        <w:spacing w:line="480" w:lineRule="atLeast"/>
        <w:ind w:firstLine="420" w:firstLineChars="200"/>
        <w:outlineLvl w:val="9"/>
        <w:rPr>
          <w:rFonts w:ascii="黑体" w:hAnsi="黑体" w:eastAsia="黑体"/>
          <w:color w:val="000000"/>
          <w:szCs w:val="21"/>
        </w:rPr>
      </w:pPr>
      <w:bookmarkStart w:id="218" w:name="_Toc243235770"/>
      <w:bookmarkStart w:id="219" w:name="_Toc493688624"/>
      <w:bookmarkStart w:id="220" w:name="_Toc671424062"/>
      <w:bookmarkStart w:id="221" w:name="_Toc1673030665"/>
      <w:bookmarkStart w:id="222" w:name="_Toc1140882237"/>
      <w:bookmarkStart w:id="223" w:name="_Toc798311701"/>
      <w:bookmarkStart w:id="224" w:name="_Toc1328724525"/>
      <w:r>
        <w:rPr>
          <w:rFonts w:hint="eastAsia" w:ascii="黑体" w:hAnsi="黑体" w:eastAsia="黑体"/>
          <w:color w:val="000000"/>
          <w:szCs w:val="21"/>
        </w:rPr>
        <w:t>七、数据推算</w:t>
      </w:r>
      <w:bookmarkEnd w:id="218"/>
      <w:bookmarkEnd w:id="219"/>
      <w:bookmarkEnd w:id="220"/>
      <w:bookmarkEnd w:id="221"/>
      <w:bookmarkEnd w:id="222"/>
      <w:bookmarkEnd w:id="223"/>
      <w:bookmarkEnd w:id="224"/>
    </w:p>
    <w:p>
      <w:pPr>
        <w:spacing w:line="480" w:lineRule="atLeast"/>
        <w:ind w:firstLine="420" w:firstLineChars="200"/>
        <w:rPr>
          <w:rFonts w:ascii="宋体" w:hAnsi="宋体"/>
          <w:color w:val="000000"/>
          <w:szCs w:val="21"/>
        </w:rPr>
      </w:pPr>
      <w:r>
        <w:rPr>
          <w:rFonts w:hint="eastAsia" w:ascii="宋体" w:hAnsi="宋体"/>
          <w:color w:val="000000"/>
          <w:szCs w:val="21"/>
        </w:rPr>
        <w:t>从业</w:t>
      </w:r>
      <w:r>
        <w:rPr>
          <w:rFonts w:ascii="宋体" w:hAnsi="宋体"/>
          <w:color w:val="000000"/>
          <w:szCs w:val="21"/>
        </w:rPr>
        <w:t>人员</w:t>
      </w:r>
      <w:r>
        <w:rPr>
          <w:rFonts w:hint="eastAsia" w:ascii="宋体" w:hAnsi="宋体"/>
          <w:color w:val="000000"/>
          <w:szCs w:val="21"/>
        </w:rPr>
        <w:t>期末人数、平均人数及工资总额估计量</w:t>
      </w:r>
    </w:p>
    <w:p>
      <w:pPr>
        <w:spacing w:line="480" w:lineRule="atLeast"/>
        <w:ind w:firstLine="420" w:firstLineChars="200"/>
        <w:rPr>
          <w:rFonts w:ascii="宋体" w:hAnsi="宋体"/>
          <w:color w:val="000000"/>
          <w:szCs w:val="21"/>
        </w:rPr>
      </w:pPr>
      <w:r>
        <w:rPr>
          <w:position w:val="-14"/>
        </w:rPr>
        <w:object>
          <v:shape id="_x0000_i1041" o:spt="75" type="#_x0000_t75" style="height:21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32" r:id="rId29">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平均工资估计量</w:t>
      </w:r>
    </w:p>
    <w:p>
      <w:pPr>
        <w:spacing w:line="480" w:lineRule="atLeast"/>
        <w:ind w:firstLine="420" w:firstLineChars="200"/>
        <w:rPr>
          <w:rFonts w:ascii="宋体" w:hAnsi="宋体"/>
          <w:color w:val="000000"/>
          <w:szCs w:val="21"/>
        </w:rPr>
      </w:pPr>
      <w:r>
        <w:rPr>
          <w:position w:val="-34"/>
        </w:rPr>
        <w:object>
          <v:shape id="_x0000_i1042" o:spt="75" type="#_x0000_t75" style="height:39.75pt;width:87.75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33" r:id="rId31">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其中，样本单位</w:t>
      </w:r>
      <w:r>
        <w:rPr>
          <w:i/>
          <w:color w:val="000000"/>
          <w:szCs w:val="21"/>
        </w:rPr>
        <w:t>i</w:t>
      </w:r>
      <w:r>
        <w:rPr>
          <w:rFonts w:hint="eastAsia" w:ascii="宋体" w:hAnsi="宋体"/>
          <w:color w:val="000000"/>
          <w:szCs w:val="21"/>
        </w:rPr>
        <w:t>属于要估计的总体，</w:t>
      </w:r>
      <w:r>
        <w:rPr>
          <w:position w:val="-12"/>
        </w:rPr>
        <w:object>
          <v:shape id="_x0000_i1043" o:spt="75" type="#_x0000_t75" style="height:18pt;width:12.75pt;" o:ole="t" filled="f" o:preferrelative="t" stroked="f" coordsize="21600,21600">
            <v:path/>
            <v:fill on="f" focussize="0,0"/>
            <v:stroke on="f" joinstyle="miter"/>
            <v:imagedata r:id="rId34" o:title=""/>
            <o:lock v:ext="edit" aspectratio="t"/>
            <w10:wrap type="none"/>
            <w10:anchorlock/>
          </v:shape>
          <o:OLEObject Type="Embed" ProgID="Equation.DSMT4" ShapeID="_x0000_i1043" DrawAspect="Content" ObjectID="_1468075734" r:id="rId33">
            <o:LockedField>false</o:LockedField>
          </o:OLEObject>
        </w:object>
      </w:r>
      <w:r>
        <w:rPr>
          <w:rFonts w:hint="eastAsia" w:ascii="宋体" w:hAnsi="宋体"/>
          <w:color w:val="000000"/>
          <w:szCs w:val="21"/>
        </w:rPr>
        <w:t>为样本单位</w:t>
      </w:r>
      <w:r>
        <w:rPr>
          <w:i/>
          <w:color w:val="000000"/>
          <w:szCs w:val="21"/>
        </w:rPr>
        <w:t>i</w:t>
      </w:r>
      <w:r>
        <w:rPr>
          <w:rFonts w:hint="eastAsia" w:ascii="宋体" w:hAnsi="宋体"/>
          <w:color w:val="000000"/>
          <w:szCs w:val="21"/>
        </w:rPr>
        <w:t>的最终权数；</w:t>
      </w:r>
      <w:r>
        <w:rPr>
          <w:i/>
          <w:color w:val="000000"/>
          <w:szCs w:val="21"/>
        </w:rPr>
        <w:t>y</w:t>
      </w:r>
      <w:r>
        <w:rPr>
          <w:i/>
          <w:color w:val="000000"/>
          <w:szCs w:val="21"/>
          <w:vertAlign w:val="subscript"/>
        </w:rPr>
        <w:t>i</w:t>
      </w:r>
      <w:r>
        <w:rPr>
          <w:rFonts w:hint="eastAsia" w:ascii="宋体" w:hAnsi="宋体"/>
          <w:color w:val="000000"/>
          <w:szCs w:val="21"/>
        </w:rPr>
        <w:t>是样本单位</w:t>
      </w:r>
      <w:r>
        <w:rPr>
          <w:i/>
          <w:color w:val="000000"/>
          <w:szCs w:val="21"/>
        </w:rPr>
        <w:t>i</w:t>
      </w:r>
      <w:r>
        <w:rPr>
          <w:rFonts w:ascii="宋体" w:hAnsi="宋体"/>
          <w:color w:val="000000"/>
          <w:szCs w:val="21"/>
        </w:rPr>
        <w:fldChar w:fldCharType="begin"/>
      </w:r>
      <w:r>
        <w:rPr>
          <w:rFonts w:ascii="宋体" w:hAnsi="宋体"/>
          <w:color w:val="000000"/>
          <w:szCs w:val="21"/>
        </w:rPr>
        <w:instrText xml:space="preserve"> QUOTE </w:instrText>
      </w:r>
      <w:r>
        <w:rPr>
          <w:rFonts w:ascii="宋体" w:hAnsi="宋体"/>
          <w:color w:val="000000"/>
          <w:position w:val="-8"/>
          <w:szCs w:val="21"/>
        </w:rPr>
        <w:pict>
          <v:shape id="_x0000_i1044" o:spt="75" type="#_x0000_t75" style="height:18.75pt;width:5.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F413B&quot;/&gt;&lt;/wsp:rsids&gt;&lt;/w:docPr&gt;&lt;w:body&gt;&lt;wx:sect&gt;&lt;w:p wsp:rsidR=&quot;00000000&quot; wsp:rsidRDefault=&quot;00FF413B&quot; wsp:rsidP=&quot;00FF413B&quot;&gt;&lt;m:oMathPara&gt;&lt;m:oMath&gt;&lt;m:r&gt;&lt;w:rPr&gt;&lt;w:rFonts w:ascii=&quot;Cambria Math&quot; w:fareast=&quot;仿宋_GB2312&quot; w:h-ansi=&quot;Cambria Math&quot;/&gt;&lt;wx:font wx:val=&quot;Cambria Math&quot;/&gt;&lt;w:i/&gt;&lt;w:sz w:val=&quot;32ododododod&quot;/y&g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35"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end"/>
      </w:r>
      <w:r>
        <w:rPr>
          <w:rFonts w:hint="eastAsia" w:ascii="宋体" w:hAnsi="宋体"/>
          <w:color w:val="000000"/>
          <w:szCs w:val="21"/>
        </w:rPr>
        <w:t>的指标的值。</w:t>
      </w:r>
    </w:p>
    <w:p>
      <w:pPr>
        <w:spacing w:line="480" w:lineRule="atLeast"/>
        <w:ind w:firstLine="420" w:firstLineChars="200"/>
        <w:rPr>
          <w:rFonts w:ascii="宋体" w:hAnsi="宋体"/>
          <w:color w:val="000000"/>
          <w:szCs w:val="21"/>
        </w:rPr>
      </w:pPr>
    </w:p>
    <w:p/>
    <w:p>
      <w:pPr>
        <w:spacing w:before="480" w:beforeLines="200" w:after="240" w:afterLines="100"/>
        <w:jc w:val="center"/>
      </w:pPr>
    </w:p>
    <w:sectPr>
      <w:pgSz w:w="11906" w:h="16838"/>
      <w:pgMar w:top="1418" w:right="1247" w:bottom="1247" w:left="124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rPr>
      <w:t>- 2 -</w:t>
    </w:r>
    <w:r>
      <w:rPr>
        <w:rFonts w:ascii="Times New Roman"/>
      </w:rPr>
      <w:fldChar w:fldCharType="end"/>
    </w:r>
  </w:p>
  <w:p>
    <w:pPr>
      <w:pStyle w:val="13"/>
      <w:ind w:right="-9"/>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end"/>
    </w:r>
  </w:p>
  <w:p>
    <w:pPr>
      <w:pStyle w:val="13"/>
      <w:ind w:right="360" w:firstLine="360"/>
    </w:pPr>
    <w:r>
      <w:rPr>
        <w:rFonts w:hint="eastAsia"/>
      </w:rPr>
      <w:t>劳动工资统计报表制度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rPr>
      <w:t>- 7 -</w:t>
    </w:r>
    <w:r>
      <w:rPr>
        <w:rFonts w:ascii="Times New Roman"/>
      </w:rPr>
      <w:fldChar w:fldCharType="end"/>
    </w:r>
  </w:p>
  <w:p>
    <w:pPr>
      <w:pStyle w:val="13"/>
      <w:ind w:right="-23"/>
    </w:pPr>
    <w:r>
      <w:rPr>
        <w:rFonts w:hint="eastAsia"/>
      </w:rPr>
      <w:t>劳动工资统计报表制度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2ZkNGNjNzIzMTc4ZTQ2ZjM5YjNmNmMxMjg1OWYifQ=="/>
  </w:docVars>
  <w:rsids>
    <w:rsidRoot w:val="00172A27"/>
    <w:rsid w:val="00000EED"/>
    <w:rsid w:val="00001EEF"/>
    <w:rsid w:val="000026E6"/>
    <w:rsid w:val="00010B58"/>
    <w:rsid w:val="00013202"/>
    <w:rsid w:val="00013483"/>
    <w:rsid w:val="000159E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0CD"/>
    <w:rsid w:val="00084588"/>
    <w:rsid w:val="00084E24"/>
    <w:rsid w:val="0008535D"/>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241A"/>
    <w:rsid w:val="00105171"/>
    <w:rsid w:val="00107E9D"/>
    <w:rsid w:val="001138F1"/>
    <w:rsid w:val="00115E67"/>
    <w:rsid w:val="001230C0"/>
    <w:rsid w:val="00125AD6"/>
    <w:rsid w:val="00126355"/>
    <w:rsid w:val="001300CF"/>
    <w:rsid w:val="0013050F"/>
    <w:rsid w:val="00130EBA"/>
    <w:rsid w:val="00131083"/>
    <w:rsid w:val="00134D72"/>
    <w:rsid w:val="00153EC1"/>
    <w:rsid w:val="00157EFB"/>
    <w:rsid w:val="00160CEB"/>
    <w:rsid w:val="00164D6F"/>
    <w:rsid w:val="001679EA"/>
    <w:rsid w:val="00172327"/>
    <w:rsid w:val="00172A27"/>
    <w:rsid w:val="001778BF"/>
    <w:rsid w:val="00186455"/>
    <w:rsid w:val="00186550"/>
    <w:rsid w:val="00191580"/>
    <w:rsid w:val="001916C0"/>
    <w:rsid w:val="00194730"/>
    <w:rsid w:val="001A0AB0"/>
    <w:rsid w:val="001A23F3"/>
    <w:rsid w:val="001A3379"/>
    <w:rsid w:val="001A373C"/>
    <w:rsid w:val="001B1880"/>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13205"/>
    <w:rsid w:val="00214F74"/>
    <w:rsid w:val="0022373A"/>
    <w:rsid w:val="00227E7F"/>
    <w:rsid w:val="002326C4"/>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96908"/>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0FB8"/>
    <w:rsid w:val="003F3E54"/>
    <w:rsid w:val="003F4FB1"/>
    <w:rsid w:val="004001FE"/>
    <w:rsid w:val="0040459A"/>
    <w:rsid w:val="0041320C"/>
    <w:rsid w:val="0041663D"/>
    <w:rsid w:val="00416F2C"/>
    <w:rsid w:val="0041780F"/>
    <w:rsid w:val="00420E25"/>
    <w:rsid w:val="004241F3"/>
    <w:rsid w:val="00424C04"/>
    <w:rsid w:val="00424E9B"/>
    <w:rsid w:val="00426762"/>
    <w:rsid w:val="004303B5"/>
    <w:rsid w:val="004342BD"/>
    <w:rsid w:val="00442FE8"/>
    <w:rsid w:val="004460F5"/>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857"/>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A4216"/>
    <w:rsid w:val="005B2B32"/>
    <w:rsid w:val="005B2ECC"/>
    <w:rsid w:val="005B3408"/>
    <w:rsid w:val="005B3895"/>
    <w:rsid w:val="005B58C7"/>
    <w:rsid w:val="005B72C9"/>
    <w:rsid w:val="005C150C"/>
    <w:rsid w:val="005C1ABD"/>
    <w:rsid w:val="005C218A"/>
    <w:rsid w:val="005E0D47"/>
    <w:rsid w:val="005E2393"/>
    <w:rsid w:val="005E24B7"/>
    <w:rsid w:val="005E2CFC"/>
    <w:rsid w:val="005E632E"/>
    <w:rsid w:val="005E6BF2"/>
    <w:rsid w:val="005E6E0E"/>
    <w:rsid w:val="005E7DA7"/>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4957"/>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2598"/>
    <w:rsid w:val="00754B4A"/>
    <w:rsid w:val="00757504"/>
    <w:rsid w:val="00757CF9"/>
    <w:rsid w:val="0077320F"/>
    <w:rsid w:val="0077331E"/>
    <w:rsid w:val="0077472C"/>
    <w:rsid w:val="00775A53"/>
    <w:rsid w:val="00776BA0"/>
    <w:rsid w:val="00777161"/>
    <w:rsid w:val="00784DE8"/>
    <w:rsid w:val="00791939"/>
    <w:rsid w:val="007948B8"/>
    <w:rsid w:val="0079774C"/>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1A3E"/>
    <w:rsid w:val="008D458C"/>
    <w:rsid w:val="008D6376"/>
    <w:rsid w:val="008D73F4"/>
    <w:rsid w:val="008E3ABD"/>
    <w:rsid w:val="008E537C"/>
    <w:rsid w:val="008E5575"/>
    <w:rsid w:val="008F2736"/>
    <w:rsid w:val="008F3048"/>
    <w:rsid w:val="008F33DF"/>
    <w:rsid w:val="008F78E3"/>
    <w:rsid w:val="009045D6"/>
    <w:rsid w:val="0090685B"/>
    <w:rsid w:val="009163B2"/>
    <w:rsid w:val="00920615"/>
    <w:rsid w:val="0092090B"/>
    <w:rsid w:val="00921C9D"/>
    <w:rsid w:val="009253EF"/>
    <w:rsid w:val="0092578B"/>
    <w:rsid w:val="009442AB"/>
    <w:rsid w:val="009444C4"/>
    <w:rsid w:val="00956727"/>
    <w:rsid w:val="009567C0"/>
    <w:rsid w:val="00965A38"/>
    <w:rsid w:val="009717BE"/>
    <w:rsid w:val="00975212"/>
    <w:rsid w:val="0097557B"/>
    <w:rsid w:val="00981BDF"/>
    <w:rsid w:val="0098335C"/>
    <w:rsid w:val="00985B9B"/>
    <w:rsid w:val="00993AC0"/>
    <w:rsid w:val="009952E0"/>
    <w:rsid w:val="009A3FA2"/>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2F"/>
    <w:rsid w:val="00A9779E"/>
    <w:rsid w:val="00AA0B65"/>
    <w:rsid w:val="00AA3E67"/>
    <w:rsid w:val="00AA571A"/>
    <w:rsid w:val="00AB0733"/>
    <w:rsid w:val="00AB377D"/>
    <w:rsid w:val="00AB3E1F"/>
    <w:rsid w:val="00AB61E3"/>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94498"/>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EA5"/>
    <w:rsid w:val="00CA03CE"/>
    <w:rsid w:val="00CB2172"/>
    <w:rsid w:val="00CC45FF"/>
    <w:rsid w:val="00CC46BF"/>
    <w:rsid w:val="00CC4FC3"/>
    <w:rsid w:val="00CD11E4"/>
    <w:rsid w:val="00CD2FA1"/>
    <w:rsid w:val="00CD4AD2"/>
    <w:rsid w:val="00CD586A"/>
    <w:rsid w:val="00CD75C0"/>
    <w:rsid w:val="00CE04BB"/>
    <w:rsid w:val="00CE0698"/>
    <w:rsid w:val="00CE55B2"/>
    <w:rsid w:val="00CF2955"/>
    <w:rsid w:val="00CF63AA"/>
    <w:rsid w:val="00CF7B77"/>
    <w:rsid w:val="00D019B5"/>
    <w:rsid w:val="00D060EA"/>
    <w:rsid w:val="00D1115E"/>
    <w:rsid w:val="00D12D6B"/>
    <w:rsid w:val="00D135C5"/>
    <w:rsid w:val="00D22A01"/>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B42E7"/>
    <w:rsid w:val="00DC2013"/>
    <w:rsid w:val="00DC6D1F"/>
    <w:rsid w:val="00DD134B"/>
    <w:rsid w:val="00DD6C30"/>
    <w:rsid w:val="00DE6C10"/>
    <w:rsid w:val="00DF24F3"/>
    <w:rsid w:val="00DF32B3"/>
    <w:rsid w:val="00E012FA"/>
    <w:rsid w:val="00E04FE0"/>
    <w:rsid w:val="00E05685"/>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2244"/>
    <w:rsid w:val="00F45047"/>
    <w:rsid w:val="00F47EAE"/>
    <w:rsid w:val="00F5002C"/>
    <w:rsid w:val="00F51537"/>
    <w:rsid w:val="00F533BF"/>
    <w:rsid w:val="00F55F07"/>
    <w:rsid w:val="00F56FB3"/>
    <w:rsid w:val="00F62521"/>
    <w:rsid w:val="00F62DF0"/>
    <w:rsid w:val="00F6658E"/>
    <w:rsid w:val="00F67BCB"/>
    <w:rsid w:val="00F67CC0"/>
    <w:rsid w:val="00F73547"/>
    <w:rsid w:val="00F74F8D"/>
    <w:rsid w:val="00F832BF"/>
    <w:rsid w:val="00FA019A"/>
    <w:rsid w:val="00FA1BCE"/>
    <w:rsid w:val="00FA5F3B"/>
    <w:rsid w:val="00FB2EB9"/>
    <w:rsid w:val="00FB3C20"/>
    <w:rsid w:val="00FB3F45"/>
    <w:rsid w:val="00FB4DB2"/>
    <w:rsid w:val="00FB50F2"/>
    <w:rsid w:val="00FB5153"/>
    <w:rsid w:val="00FC644F"/>
    <w:rsid w:val="00FC6B7A"/>
    <w:rsid w:val="00FD3FF8"/>
    <w:rsid w:val="00FD66C9"/>
    <w:rsid w:val="00FE042B"/>
    <w:rsid w:val="00FE2EC6"/>
    <w:rsid w:val="00FE7A74"/>
    <w:rsid w:val="00FF1B5D"/>
    <w:rsid w:val="00FF3E94"/>
    <w:rsid w:val="09E5121A"/>
    <w:rsid w:val="0DAFD04B"/>
    <w:rsid w:val="16FFB948"/>
    <w:rsid w:val="18D5CE50"/>
    <w:rsid w:val="1A0A53FD"/>
    <w:rsid w:val="1C4C3099"/>
    <w:rsid w:val="1CD22482"/>
    <w:rsid w:val="1DFD8D94"/>
    <w:rsid w:val="1EDD203F"/>
    <w:rsid w:val="1F53DEDE"/>
    <w:rsid w:val="1FAF5659"/>
    <w:rsid w:val="1FED66AC"/>
    <w:rsid w:val="1FFB615E"/>
    <w:rsid w:val="223C379B"/>
    <w:rsid w:val="23BB7405"/>
    <w:rsid w:val="23FF6395"/>
    <w:rsid w:val="26FD545D"/>
    <w:rsid w:val="2B483079"/>
    <w:rsid w:val="2BE6F2AA"/>
    <w:rsid w:val="2EFF45BF"/>
    <w:rsid w:val="2F6F020C"/>
    <w:rsid w:val="2FEB35C7"/>
    <w:rsid w:val="2FFB9250"/>
    <w:rsid w:val="2FFE0F89"/>
    <w:rsid w:val="2FFF1481"/>
    <w:rsid w:val="317B3A06"/>
    <w:rsid w:val="32FF5292"/>
    <w:rsid w:val="34F7C8BE"/>
    <w:rsid w:val="35774B0E"/>
    <w:rsid w:val="365C5FE1"/>
    <w:rsid w:val="36BD2589"/>
    <w:rsid w:val="374BF15D"/>
    <w:rsid w:val="3779BB3E"/>
    <w:rsid w:val="37BC9A20"/>
    <w:rsid w:val="39FFA001"/>
    <w:rsid w:val="3A0F2902"/>
    <w:rsid w:val="3DF5C43A"/>
    <w:rsid w:val="3E3E0C34"/>
    <w:rsid w:val="3E6F8E23"/>
    <w:rsid w:val="3EAF175C"/>
    <w:rsid w:val="3EBB0A0B"/>
    <w:rsid w:val="3EC6B7E6"/>
    <w:rsid w:val="3EEF40F5"/>
    <w:rsid w:val="3F1C4C19"/>
    <w:rsid w:val="3F2E57BD"/>
    <w:rsid w:val="3F3CEC09"/>
    <w:rsid w:val="3F5CDBDD"/>
    <w:rsid w:val="3F7EC774"/>
    <w:rsid w:val="3FBE0D78"/>
    <w:rsid w:val="3FCE871F"/>
    <w:rsid w:val="3FD46D34"/>
    <w:rsid w:val="3FDF8F70"/>
    <w:rsid w:val="3FECF482"/>
    <w:rsid w:val="3FEF69F6"/>
    <w:rsid w:val="3FF652B6"/>
    <w:rsid w:val="3FF7A833"/>
    <w:rsid w:val="4BF133FA"/>
    <w:rsid w:val="4BF5CA80"/>
    <w:rsid w:val="4DB30920"/>
    <w:rsid w:val="4DBC6A6B"/>
    <w:rsid w:val="4FF700C3"/>
    <w:rsid w:val="4FFE620F"/>
    <w:rsid w:val="504A30E7"/>
    <w:rsid w:val="53B6FFA6"/>
    <w:rsid w:val="53F60D99"/>
    <w:rsid w:val="54ED8BAF"/>
    <w:rsid w:val="55FFC2FF"/>
    <w:rsid w:val="572F9293"/>
    <w:rsid w:val="576D2779"/>
    <w:rsid w:val="57FE25CF"/>
    <w:rsid w:val="59DE11C0"/>
    <w:rsid w:val="5BBF3D9C"/>
    <w:rsid w:val="5BF7263D"/>
    <w:rsid w:val="5BFDB779"/>
    <w:rsid w:val="5D6E641D"/>
    <w:rsid w:val="5DE3690C"/>
    <w:rsid w:val="5E5D01F7"/>
    <w:rsid w:val="5E67399A"/>
    <w:rsid w:val="5E7B1819"/>
    <w:rsid w:val="5EBB7CC8"/>
    <w:rsid w:val="5F3A298B"/>
    <w:rsid w:val="5F7D7E84"/>
    <w:rsid w:val="5F7F04B8"/>
    <w:rsid w:val="5F8A057B"/>
    <w:rsid w:val="5FBC892C"/>
    <w:rsid w:val="5FD7ED09"/>
    <w:rsid w:val="5FE763A8"/>
    <w:rsid w:val="5FED3ABF"/>
    <w:rsid w:val="5FF524F4"/>
    <w:rsid w:val="5FF76259"/>
    <w:rsid w:val="5FFCBEDE"/>
    <w:rsid w:val="5FFEB241"/>
    <w:rsid w:val="65F472FC"/>
    <w:rsid w:val="65FB3EE6"/>
    <w:rsid w:val="67CF5FFB"/>
    <w:rsid w:val="67D9AD03"/>
    <w:rsid w:val="67EA7E80"/>
    <w:rsid w:val="69FECF1F"/>
    <w:rsid w:val="6A5B6B20"/>
    <w:rsid w:val="6AABA123"/>
    <w:rsid w:val="6B37F056"/>
    <w:rsid w:val="6B9DD4FC"/>
    <w:rsid w:val="6BD5C63E"/>
    <w:rsid w:val="6BFF4F28"/>
    <w:rsid w:val="6C9EA7E2"/>
    <w:rsid w:val="6CAF604B"/>
    <w:rsid w:val="6D7FD3A8"/>
    <w:rsid w:val="6DAFEA50"/>
    <w:rsid w:val="6DEDD496"/>
    <w:rsid w:val="6E746C8D"/>
    <w:rsid w:val="6F3DF5A0"/>
    <w:rsid w:val="6F769DC2"/>
    <w:rsid w:val="6F7B6457"/>
    <w:rsid w:val="6F7F91B5"/>
    <w:rsid w:val="6F9BF1D4"/>
    <w:rsid w:val="6FBD38E7"/>
    <w:rsid w:val="6FBF7FDD"/>
    <w:rsid w:val="6FBFA8AB"/>
    <w:rsid w:val="6FC1781C"/>
    <w:rsid w:val="6FDF5269"/>
    <w:rsid w:val="6FFF5854"/>
    <w:rsid w:val="72F7D180"/>
    <w:rsid w:val="73544FA8"/>
    <w:rsid w:val="74FF8D66"/>
    <w:rsid w:val="756A24D9"/>
    <w:rsid w:val="75F76BFB"/>
    <w:rsid w:val="764F6F85"/>
    <w:rsid w:val="76CAA158"/>
    <w:rsid w:val="76F183D1"/>
    <w:rsid w:val="76F72270"/>
    <w:rsid w:val="76FC9BA3"/>
    <w:rsid w:val="773321D1"/>
    <w:rsid w:val="777FF4B4"/>
    <w:rsid w:val="77BA5B78"/>
    <w:rsid w:val="77E2FF3F"/>
    <w:rsid w:val="77F68F9A"/>
    <w:rsid w:val="77F7F4E8"/>
    <w:rsid w:val="77FB4903"/>
    <w:rsid w:val="77FE9CB1"/>
    <w:rsid w:val="77FF26C6"/>
    <w:rsid w:val="77FF79DE"/>
    <w:rsid w:val="77FFCFF1"/>
    <w:rsid w:val="786127E0"/>
    <w:rsid w:val="78FBD74D"/>
    <w:rsid w:val="7998EDF0"/>
    <w:rsid w:val="79DFF08A"/>
    <w:rsid w:val="7A994AA2"/>
    <w:rsid w:val="7ABF84C2"/>
    <w:rsid w:val="7AD1DB60"/>
    <w:rsid w:val="7B4974DD"/>
    <w:rsid w:val="7B6F25FF"/>
    <w:rsid w:val="7BBAFD09"/>
    <w:rsid w:val="7BBF0906"/>
    <w:rsid w:val="7BBFD11B"/>
    <w:rsid w:val="7BD4B5C3"/>
    <w:rsid w:val="7BF8A58A"/>
    <w:rsid w:val="7BFF17ED"/>
    <w:rsid w:val="7CFD247F"/>
    <w:rsid w:val="7D35960F"/>
    <w:rsid w:val="7D6F48D6"/>
    <w:rsid w:val="7D7B6A1A"/>
    <w:rsid w:val="7D7D06FC"/>
    <w:rsid w:val="7D7F2DE8"/>
    <w:rsid w:val="7D894CC7"/>
    <w:rsid w:val="7D9F3DF8"/>
    <w:rsid w:val="7DBC2F44"/>
    <w:rsid w:val="7DDF62B8"/>
    <w:rsid w:val="7DFFBBEE"/>
    <w:rsid w:val="7E0FCB21"/>
    <w:rsid w:val="7E4999A6"/>
    <w:rsid w:val="7EAECE7E"/>
    <w:rsid w:val="7EAF4870"/>
    <w:rsid w:val="7EEEBE46"/>
    <w:rsid w:val="7EEFB9B6"/>
    <w:rsid w:val="7EF3F316"/>
    <w:rsid w:val="7EFFC429"/>
    <w:rsid w:val="7F2513C7"/>
    <w:rsid w:val="7F53A914"/>
    <w:rsid w:val="7F57B59D"/>
    <w:rsid w:val="7F6B8E1B"/>
    <w:rsid w:val="7F6C577E"/>
    <w:rsid w:val="7F77D2E5"/>
    <w:rsid w:val="7F7B1351"/>
    <w:rsid w:val="7F7E58DF"/>
    <w:rsid w:val="7F7F17C2"/>
    <w:rsid w:val="7F7F6FB9"/>
    <w:rsid w:val="7F7FC225"/>
    <w:rsid w:val="7F971E74"/>
    <w:rsid w:val="7FB97717"/>
    <w:rsid w:val="7FBD7DA3"/>
    <w:rsid w:val="7FBF4742"/>
    <w:rsid w:val="7FBF9C37"/>
    <w:rsid w:val="7FCC9676"/>
    <w:rsid w:val="7FCEAA1B"/>
    <w:rsid w:val="7FD7B2AB"/>
    <w:rsid w:val="7FDCF5EF"/>
    <w:rsid w:val="7FDE95B2"/>
    <w:rsid w:val="7FDF0C8D"/>
    <w:rsid w:val="7FDF3F5B"/>
    <w:rsid w:val="7FDFE8E7"/>
    <w:rsid w:val="7FED13A6"/>
    <w:rsid w:val="7FEF6D3B"/>
    <w:rsid w:val="7FF3899B"/>
    <w:rsid w:val="7FF78B9C"/>
    <w:rsid w:val="7FF7D1BB"/>
    <w:rsid w:val="7FFAB4D2"/>
    <w:rsid w:val="7FFB5DCE"/>
    <w:rsid w:val="7FFB6C4B"/>
    <w:rsid w:val="7FFD61B1"/>
    <w:rsid w:val="7FFF8925"/>
    <w:rsid w:val="7FFF9C36"/>
    <w:rsid w:val="7FFFCB41"/>
    <w:rsid w:val="7FFFEF5A"/>
    <w:rsid w:val="91FDD475"/>
    <w:rsid w:val="97CDEBD0"/>
    <w:rsid w:val="9B6D0826"/>
    <w:rsid w:val="9D86BA4C"/>
    <w:rsid w:val="9DCF20C8"/>
    <w:rsid w:val="9DFF2317"/>
    <w:rsid w:val="9E6A8008"/>
    <w:rsid w:val="9ED3CB8F"/>
    <w:rsid w:val="9EF36ADA"/>
    <w:rsid w:val="9EFE64FF"/>
    <w:rsid w:val="9FDF314C"/>
    <w:rsid w:val="9FF7DAF3"/>
    <w:rsid w:val="A3C3786C"/>
    <w:rsid w:val="A7DF5039"/>
    <w:rsid w:val="A99CDBEE"/>
    <w:rsid w:val="ABDCB236"/>
    <w:rsid w:val="AF67715E"/>
    <w:rsid w:val="AFF5BE06"/>
    <w:rsid w:val="B3F110A0"/>
    <w:rsid w:val="B46A2E06"/>
    <w:rsid w:val="B5BCB2A1"/>
    <w:rsid w:val="B5DCA427"/>
    <w:rsid w:val="B6FAA021"/>
    <w:rsid w:val="B743EFD2"/>
    <w:rsid w:val="B7759E94"/>
    <w:rsid w:val="B77F92A6"/>
    <w:rsid w:val="B7AFAA1E"/>
    <w:rsid w:val="B8F978DB"/>
    <w:rsid w:val="BAFE26B8"/>
    <w:rsid w:val="BBA77043"/>
    <w:rsid w:val="BBDD05D2"/>
    <w:rsid w:val="BBF5B76A"/>
    <w:rsid w:val="BC7739D4"/>
    <w:rsid w:val="BD6FB188"/>
    <w:rsid w:val="BDCF0C14"/>
    <w:rsid w:val="BDEE2CCC"/>
    <w:rsid w:val="BDF4E2F7"/>
    <w:rsid w:val="BDF5C5EE"/>
    <w:rsid w:val="BDFB55EE"/>
    <w:rsid w:val="BDFF9886"/>
    <w:rsid w:val="BE39F4FB"/>
    <w:rsid w:val="BE3F84AF"/>
    <w:rsid w:val="BEB7A8EC"/>
    <w:rsid w:val="BEBB569A"/>
    <w:rsid w:val="BEBFF24F"/>
    <w:rsid w:val="BF3FBCCA"/>
    <w:rsid w:val="BF6FFD9D"/>
    <w:rsid w:val="BFAAA1E1"/>
    <w:rsid w:val="BFB7A4C7"/>
    <w:rsid w:val="BFF683D9"/>
    <w:rsid w:val="BFFB08E8"/>
    <w:rsid w:val="BFFEA46F"/>
    <w:rsid w:val="C3CD2E6C"/>
    <w:rsid w:val="C6EBACB6"/>
    <w:rsid w:val="C93F7765"/>
    <w:rsid w:val="CDFCB106"/>
    <w:rsid w:val="CDFF48A0"/>
    <w:rsid w:val="CEF348F0"/>
    <w:rsid w:val="CF9A2248"/>
    <w:rsid w:val="CFDF6506"/>
    <w:rsid w:val="D3BB7961"/>
    <w:rsid w:val="D3BF9D29"/>
    <w:rsid w:val="D59FEB3C"/>
    <w:rsid w:val="D5FDBC07"/>
    <w:rsid w:val="D67BC028"/>
    <w:rsid w:val="D75FA2DF"/>
    <w:rsid w:val="D77F70A1"/>
    <w:rsid w:val="D7DD4ACA"/>
    <w:rsid w:val="D7FF2713"/>
    <w:rsid w:val="DB7F7C9F"/>
    <w:rsid w:val="DBE6EE93"/>
    <w:rsid w:val="DD1DAC7A"/>
    <w:rsid w:val="DD7F63AA"/>
    <w:rsid w:val="DDBBD1A6"/>
    <w:rsid w:val="DDD788D8"/>
    <w:rsid w:val="DDF6A6EF"/>
    <w:rsid w:val="DDFFA977"/>
    <w:rsid w:val="DE536FB2"/>
    <w:rsid w:val="DF0B9D99"/>
    <w:rsid w:val="DF69A03C"/>
    <w:rsid w:val="DF7707AC"/>
    <w:rsid w:val="DF9FD95A"/>
    <w:rsid w:val="DFA38481"/>
    <w:rsid w:val="DFAB2EA3"/>
    <w:rsid w:val="DFD960EF"/>
    <w:rsid w:val="DFFD43F8"/>
    <w:rsid w:val="E2A3D97E"/>
    <w:rsid w:val="E57FE33E"/>
    <w:rsid w:val="E5F86C95"/>
    <w:rsid w:val="E5FFC5B7"/>
    <w:rsid w:val="E6FCAAFF"/>
    <w:rsid w:val="E758AD80"/>
    <w:rsid w:val="E7C9846C"/>
    <w:rsid w:val="E7F76904"/>
    <w:rsid w:val="E7FB05CC"/>
    <w:rsid w:val="E89F520C"/>
    <w:rsid w:val="EB7C4183"/>
    <w:rsid w:val="EBDE632E"/>
    <w:rsid w:val="ECDF7F49"/>
    <w:rsid w:val="EDFFEA9E"/>
    <w:rsid w:val="EDFFEE67"/>
    <w:rsid w:val="EE3D3F22"/>
    <w:rsid w:val="EED79B84"/>
    <w:rsid w:val="EEDF7C5A"/>
    <w:rsid w:val="EF3AAD52"/>
    <w:rsid w:val="EF7F3461"/>
    <w:rsid w:val="EFC71808"/>
    <w:rsid w:val="EFCBEEF5"/>
    <w:rsid w:val="EFDDD8D1"/>
    <w:rsid w:val="EFFB5A82"/>
    <w:rsid w:val="F1DF91B2"/>
    <w:rsid w:val="F3DE2F54"/>
    <w:rsid w:val="F4B5B553"/>
    <w:rsid w:val="F5DB78FA"/>
    <w:rsid w:val="F5ED7C58"/>
    <w:rsid w:val="F5EF8560"/>
    <w:rsid w:val="F60F5AB1"/>
    <w:rsid w:val="F67B8135"/>
    <w:rsid w:val="F6F3C19D"/>
    <w:rsid w:val="F75D8EA1"/>
    <w:rsid w:val="F7CF149F"/>
    <w:rsid w:val="F7FA13EE"/>
    <w:rsid w:val="F7FBFF5A"/>
    <w:rsid w:val="F7FF47A8"/>
    <w:rsid w:val="F7FF6939"/>
    <w:rsid w:val="F9E39E15"/>
    <w:rsid w:val="F9F35884"/>
    <w:rsid w:val="F9FFBB19"/>
    <w:rsid w:val="FAFF583B"/>
    <w:rsid w:val="FB0BD8FC"/>
    <w:rsid w:val="FB361728"/>
    <w:rsid w:val="FB3B074A"/>
    <w:rsid w:val="FB4F30BE"/>
    <w:rsid w:val="FB7BA25A"/>
    <w:rsid w:val="FB7F2455"/>
    <w:rsid w:val="FBAF68F5"/>
    <w:rsid w:val="FBCFD09D"/>
    <w:rsid w:val="FBDBFAFD"/>
    <w:rsid w:val="FBDDA0AA"/>
    <w:rsid w:val="FBFD9B33"/>
    <w:rsid w:val="FBFF1BF6"/>
    <w:rsid w:val="FBFF2BE3"/>
    <w:rsid w:val="FC5A8C7D"/>
    <w:rsid w:val="FCEEAC35"/>
    <w:rsid w:val="FD7FE52E"/>
    <w:rsid w:val="FD96F3DB"/>
    <w:rsid w:val="FDB7432D"/>
    <w:rsid w:val="FDBDA765"/>
    <w:rsid w:val="FDD77DAE"/>
    <w:rsid w:val="FDEFB01E"/>
    <w:rsid w:val="FDFB7AFA"/>
    <w:rsid w:val="FE16574B"/>
    <w:rsid w:val="FE3FE249"/>
    <w:rsid w:val="FEEF4759"/>
    <w:rsid w:val="FEF611A2"/>
    <w:rsid w:val="FF07DE86"/>
    <w:rsid w:val="FF760C7C"/>
    <w:rsid w:val="FF77C556"/>
    <w:rsid w:val="FF7D0AFC"/>
    <w:rsid w:val="FF7F4830"/>
    <w:rsid w:val="FF977F7F"/>
    <w:rsid w:val="FF9B1B0A"/>
    <w:rsid w:val="FFCF4817"/>
    <w:rsid w:val="FFD5BAD9"/>
    <w:rsid w:val="FFD7A4CD"/>
    <w:rsid w:val="FFE3B8AF"/>
    <w:rsid w:val="FFF1B0CD"/>
    <w:rsid w:val="FFF313FF"/>
    <w:rsid w:val="FFFAB80B"/>
    <w:rsid w:val="FFFAC05E"/>
    <w:rsid w:val="FFFB192D"/>
    <w:rsid w:val="FFFB4C92"/>
    <w:rsid w:val="FFFC51A9"/>
    <w:rsid w:val="FFFC82C8"/>
    <w:rsid w:val="FFFCA46C"/>
    <w:rsid w:val="FFFDC18B"/>
    <w:rsid w:val="FFFE5D7F"/>
    <w:rsid w:val="FFFF1ED7"/>
    <w:rsid w:val="FFFF28D6"/>
    <w:rsid w:val="FFFF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jc w:val="both"/>
    </w:pPr>
    <w:rPr>
      <w:rFonts w:ascii="Calibri" w:hAnsi="Calibri"/>
      <w:kern w:val="2"/>
      <w:sz w:val="21"/>
      <w:szCs w:val="24"/>
    </w:rPr>
  </w:style>
  <w:style w:type="paragraph" w:styleId="3">
    <w:name w:val="Body Text Indent"/>
    <w:basedOn w:val="1"/>
    <w:next w:val="1"/>
    <w:autoRedefine/>
    <w:qFormat/>
    <w:uiPriority w:val="0"/>
    <w:pPr>
      <w:autoSpaceDE w:val="0"/>
      <w:autoSpaceDN w:val="0"/>
      <w:adjustRightInd w:val="0"/>
      <w:ind w:left="180" w:hanging="180"/>
      <w:jc w:val="left"/>
    </w:pPr>
    <w:rPr>
      <w:rFonts w:ascii="宋体"/>
      <w:color w:val="000000"/>
      <w:kern w:val="0"/>
      <w:sz w:val="18"/>
    </w:rPr>
  </w:style>
  <w:style w:type="paragraph" w:styleId="4">
    <w:name w:val="Normal Indent"/>
    <w:basedOn w:val="1"/>
    <w:autoRedefine/>
    <w:qFormat/>
    <w:uiPriority w:val="99"/>
    <w:pPr>
      <w:ind w:firstLine="420" w:firstLineChars="200"/>
    </w:pPr>
  </w:style>
  <w:style w:type="paragraph" w:styleId="5">
    <w:name w:val="Document Map"/>
    <w:basedOn w:val="1"/>
    <w:autoRedefine/>
    <w:qFormat/>
    <w:uiPriority w:val="0"/>
    <w:pPr>
      <w:shd w:val="clear" w:color="auto" w:fill="000080"/>
    </w:p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toc 3"/>
    <w:basedOn w:val="1"/>
    <w:next w:val="1"/>
    <w:autoRedefine/>
    <w:qFormat/>
    <w:uiPriority w:val="0"/>
    <w:pPr>
      <w:ind w:left="840" w:leftChars="400"/>
    </w:pPr>
  </w:style>
  <w:style w:type="paragraph" w:styleId="9">
    <w:name w:val="Plain Text"/>
    <w:basedOn w:val="1"/>
    <w:link w:val="26"/>
    <w:autoRedefine/>
    <w:qFormat/>
    <w:uiPriority w:val="0"/>
    <w:rPr>
      <w:rFonts w:ascii="宋体" w:hAnsi="Courier New"/>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link w:val="27"/>
    <w:autoRedefine/>
    <w:semiHidden/>
    <w:qFormat/>
    <w:uiPriority w:val="99"/>
    <w:rPr>
      <w:sz w:val="18"/>
      <w:szCs w:val="18"/>
    </w:rPr>
  </w:style>
  <w:style w:type="paragraph" w:styleId="12">
    <w:name w:val="footer"/>
    <w:basedOn w:val="1"/>
    <w:link w:val="28"/>
    <w:autoRedefine/>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0"/>
  </w:style>
  <w:style w:type="paragraph" w:styleId="15">
    <w:name w:val="List"/>
    <w:basedOn w:val="1"/>
    <w:autoRedefine/>
    <w:qFormat/>
    <w:uiPriority w:val="0"/>
    <w:pPr>
      <w:ind w:left="420" w:hanging="420"/>
    </w:pPr>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utoSpaceDE w:val="0"/>
      <w:autoSpaceDN w:val="0"/>
      <w:adjustRightInd w:val="0"/>
      <w:jc w:val="left"/>
    </w:pPr>
    <w:rPr>
      <w:rFonts w:ascii="宋体"/>
      <w:color w:val="000000"/>
      <w:kern w:val="0"/>
      <w:sz w:val="18"/>
    </w:rPr>
  </w:style>
  <w:style w:type="paragraph" w:styleId="18">
    <w:name w:val="Normal (Web)"/>
    <w:basedOn w:val="1"/>
    <w:autoRedefine/>
    <w:qFormat/>
    <w:uiPriority w:val="0"/>
    <w:rPr>
      <w:sz w:val="24"/>
    </w:rPr>
  </w:style>
  <w:style w:type="paragraph" w:styleId="19">
    <w:name w:val="annotation subject"/>
    <w:basedOn w:val="6"/>
    <w:next w:val="6"/>
    <w:autoRedefine/>
    <w:semiHidden/>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autoRedefine/>
    <w:semiHidden/>
    <w:qFormat/>
    <w:uiPriority w:val="0"/>
    <w:rPr>
      <w:sz w:val="21"/>
      <w:szCs w:val="21"/>
    </w:rPr>
  </w:style>
  <w:style w:type="character" w:customStyle="1" w:styleId="26">
    <w:name w:val="纯文本 Char"/>
    <w:link w:val="9"/>
    <w:autoRedefine/>
    <w:qFormat/>
    <w:uiPriority w:val="0"/>
    <w:rPr>
      <w:rFonts w:ascii="宋体" w:hAnsi="Courier New" w:eastAsia="宋体"/>
      <w:kern w:val="2"/>
      <w:sz w:val="21"/>
      <w:lang w:val="en-US" w:eastAsia="zh-CN" w:bidi="ar-SA"/>
    </w:rPr>
  </w:style>
  <w:style w:type="character" w:customStyle="1" w:styleId="27">
    <w:name w:val="批注框文本 Char"/>
    <w:link w:val="11"/>
    <w:autoRedefine/>
    <w:semiHidden/>
    <w:qFormat/>
    <w:uiPriority w:val="99"/>
    <w:rPr>
      <w:kern w:val="2"/>
      <w:sz w:val="18"/>
      <w:szCs w:val="18"/>
    </w:rPr>
  </w:style>
  <w:style w:type="character" w:customStyle="1" w:styleId="28">
    <w:name w:val="页脚 Char"/>
    <w:link w:val="12"/>
    <w:qFormat/>
    <w:uiPriority w:val="99"/>
    <w:rPr>
      <w:kern w:val="2"/>
      <w:sz w:val="18"/>
      <w:szCs w:val="18"/>
    </w:rPr>
  </w:style>
  <w:style w:type="character" w:customStyle="1" w:styleId="29">
    <w:name w:val="页眉 Char"/>
    <w:link w:val="13"/>
    <w:autoRedefine/>
    <w:qFormat/>
    <w:uiPriority w:val="99"/>
    <w:rPr>
      <w:kern w:val="2"/>
      <w:sz w:val="18"/>
    </w:rPr>
  </w:style>
  <w:style w:type="character" w:customStyle="1" w:styleId="30">
    <w:name w:val="Char Char Char"/>
    <w:autoRedefine/>
    <w:qFormat/>
    <w:locked/>
    <w:uiPriority w:val="0"/>
    <w:rPr>
      <w:rFonts w:ascii="宋体" w:hAnsi="Courier New" w:eastAsia="宋体"/>
      <w:kern w:val="2"/>
      <w:sz w:val="21"/>
      <w:lang w:val="en-US" w:eastAsia="zh-CN" w:bidi="ar-SA"/>
    </w:rPr>
  </w:style>
  <w:style w:type="character" w:customStyle="1" w:styleId="31">
    <w:name w:val="段 Char Char"/>
    <w:link w:val="32"/>
    <w:autoRedefine/>
    <w:qFormat/>
    <w:uiPriority w:val="0"/>
    <w:rPr>
      <w:rFonts w:ascii="宋体"/>
      <w:sz w:val="21"/>
      <w:lang w:val="en-US" w:eastAsia="zh-CN" w:bidi="ar-SA"/>
    </w:rPr>
  </w:style>
  <w:style w:type="paragraph" w:customStyle="1" w:styleId="32">
    <w:name w:val="段 Char"/>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4">
    <w:name w:val="Char Char Char Char Char Char Char Char Char Char Char Char1 Char Char Char Char"/>
    <w:basedOn w:val="1"/>
    <w:autoRedefine/>
    <w:qFormat/>
    <w:uiPriority w:val="0"/>
    <w:pPr>
      <w:tabs>
        <w:tab w:val="left" w:pos="432"/>
      </w:tabs>
      <w:spacing w:line="400" w:lineRule="exact"/>
      <w:ind w:left="432" w:hanging="432"/>
    </w:pPr>
  </w:style>
  <w:style w:type="paragraph" w:customStyle="1" w:styleId="35">
    <w:name w:val="一级条标题"/>
    <w:next w:val="36"/>
    <w:autoRedefine/>
    <w:qFormat/>
    <w:uiPriority w:val="0"/>
    <w:pPr>
      <w:tabs>
        <w:tab w:val="left" w:pos="1418"/>
      </w:tabs>
      <w:ind w:left="1418" w:hanging="567"/>
      <w:outlineLvl w:val="2"/>
    </w:pPr>
    <w:rPr>
      <w:rFonts w:ascii="Times New Roman" w:hAnsi="Times New Roman" w:eastAsia="黑体" w:cs="Times New Roman"/>
      <w:sz w:val="21"/>
      <w:lang w:val="en-US" w:eastAsia="zh-CN" w:bidi="ar-SA"/>
    </w:rPr>
  </w:style>
  <w:style w:type="paragraph" w:customStyle="1" w:styleId="3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Char Char Char Char"/>
    <w:basedOn w:val="1"/>
    <w:autoRedefine/>
    <w:qFormat/>
    <w:uiPriority w:val="0"/>
    <w:pPr>
      <w:autoSpaceDE w:val="0"/>
      <w:autoSpaceDN w:val="0"/>
    </w:pPr>
    <w:rPr>
      <w:rFonts w:ascii="Tahoma" w:hAnsi="Tahoma"/>
      <w:sz w:val="24"/>
    </w:rPr>
  </w:style>
  <w:style w:type="paragraph" w:customStyle="1" w:styleId="39">
    <w:name w:val="默认段落字体 Para Char Char"/>
    <w:basedOn w:val="1"/>
    <w:qFormat/>
    <w:uiPriority w:val="0"/>
    <w:rPr>
      <w:szCs w:val="24"/>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0.bin"/><Relationship Id="rId32" Type="http://schemas.openxmlformats.org/officeDocument/2006/relationships/image" Target="media/image17.wmf"/><Relationship Id="rId31" Type="http://schemas.openxmlformats.org/officeDocument/2006/relationships/oleObject" Target="embeddings/oleObject9.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5.wmf"/><Relationship Id="rId27" Type="http://schemas.openxmlformats.org/officeDocument/2006/relationships/oleObject" Target="embeddings/oleObject7.bin"/><Relationship Id="rId26" Type="http://schemas.openxmlformats.org/officeDocument/2006/relationships/image" Target="media/image14.wmf"/><Relationship Id="rId25" Type="http://schemas.openxmlformats.org/officeDocument/2006/relationships/oleObject" Target="embeddings/oleObject6.bin"/><Relationship Id="rId24" Type="http://schemas.openxmlformats.org/officeDocument/2006/relationships/image" Target="media/image13.wmf"/><Relationship Id="rId23" Type="http://schemas.openxmlformats.org/officeDocument/2006/relationships/oleObject" Target="embeddings/oleObject5.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国家统计局</Company>
  <Pages>21</Pages>
  <Words>5244</Words>
  <Characters>29891</Characters>
  <Lines>249</Lines>
  <Paragraphs>70</Paragraphs>
  <TotalTime>1297</TotalTime>
  <ScaleCrop>false</ScaleCrop>
  <LinksUpToDate>false</LinksUpToDate>
  <CharactersWithSpaces>35065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2020-11-23T01:40:00Z</dcterms:created>
  <dc:creator>便笺</dc:creator>
  <cp:lastModifiedBy>闫浠墅</cp:lastModifiedBy>
  <cp:lastPrinted>2024-12-03T01:16:00Z</cp:lastPrinted>
  <dcterms:modified xsi:type="dcterms:W3CDTF">2024-12-04T03:23:59Z</dcterms:modified>
  <dc:title>目  录</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356A3C4CCFA090721EF8DF666F7D1604</vt:lpwstr>
  </property>
</Properties>
</file>